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2B71F42">
      <w:pPr>
        <w:jc w:val="center"/>
        <w:outlineLvl w:val="0"/>
        <w:rPr>
          <w:rFonts w:hint="eastAsia" w:ascii="黑体" w:hAnsi="黑体" w:eastAsia="黑体" w:cs="黑体"/>
          <w:sz w:val="36"/>
          <w:szCs w:val="36"/>
          <w:lang w:val="en-US" w:eastAsia="zh-CN"/>
        </w:rPr>
      </w:pPr>
      <w:r>
        <w:rPr>
          <w:rFonts w:hint="eastAsia" w:ascii="黑体" w:hAnsi="黑体" w:eastAsia="黑体" w:cs="黑体"/>
          <w:sz w:val="36"/>
          <w:szCs w:val="36"/>
          <w:lang w:val="en-US" w:eastAsia="zh-CN"/>
        </w:rPr>
        <w:t>广安区文庙片区老旧小区改造及配套基础设施改造项目</w:t>
      </w:r>
    </w:p>
    <w:p w14:paraId="4BDA0DB5">
      <w:pPr>
        <w:jc w:val="center"/>
        <w:outlineLvl w:val="0"/>
        <w:rPr>
          <w:rFonts w:hint="eastAsia" w:ascii="黑体" w:hAnsi="黑体" w:eastAsia="黑体" w:cs="黑体"/>
          <w:sz w:val="36"/>
          <w:szCs w:val="36"/>
          <w:lang w:val="en-US" w:eastAsia="zh-CN"/>
        </w:rPr>
      </w:pPr>
      <w:r>
        <w:rPr>
          <w:rFonts w:hint="eastAsia" w:ascii="黑体" w:hAnsi="黑体" w:eastAsia="黑体" w:cs="黑体"/>
          <w:sz w:val="36"/>
          <w:szCs w:val="36"/>
          <w:lang w:val="en-US" w:eastAsia="zh-CN"/>
        </w:rPr>
        <w:t>情况说明</w:t>
      </w:r>
    </w:p>
    <w:p w14:paraId="72501B04">
      <w:pPr>
        <w:numPr>
          <w:ilvl w:val="0"/>
          <w:numId w:val="0"/>
        </w:numPr>
        <w:spacing w:beforeLines="50" w:afterLines="50" w:line="360" w:lineRule="auto"/>
        <w:jc w:val="both"/>
        <w:outlineLvl w:val="0"/>
        <w:rPr>
          <w:rFonts w:hint="eastAsia" w:ascii="仿宋" w:hAnsi="仿宋" w:eastAsia="仿宋"/>
          <w:b/>
          <w:bCs/>
          <w:sz w:val="32"/>
          <w:szCs w:val="32"/>
        </w:rPr>
      </w:pPr>
      <w:bookmarkStart w:id="0" w:name="_Toc29970"/>
      <w:r>
        <w:rPr>
          <w:rFonts w:hint="eastAsia" w:ascii="仿宋" w:hAnsi="仿宋" w:eastAsia="仿宋"/>
          <w:b/>
          <w:bCs/>
          <w:sz w:val="32"/>
          <w:szCs w:val="32"/>
          <w:lang w:val="en-US" w:eastAsia="zh-CN"/>
        </w:rPr>
        <w:t>一、</w:t>
      </w:r>
      <w:r>
        <w:rPr>
          <w:rFonts w:hint="eastAsia" w:ascii="仿宋" w:hAnsi="仿宋" w:eastAsia="仿宋"/>
          <w:b/>
          <w:bCs/>
          <w:sz w:val="32"/>
          <w:szCs w:val="32"/>
        </w:rPr>
        <w:t>项目基本情况</w:t>
      </w:r>
      <w:bookmarkEnd w:id="0"/>
    </w:p>
    <w:p w14:paraId="2C9FAB59">
      <w:pPr>
        <w:pageBreakBefore w:val="0"/>
        <w:widowControl w:val="0"/>
        <w:kinsoku/>
        <w:wordWrap/>
        <w:overflowPunct/>
        <w:topLinePunct w:val="0"/>
        <w:autoSpaceDE/>
        <w:autoSpaceDN/>
        <w:bidi w:val="0"/>
        <w:adjustRightInd/>
        <w:snapToGrid/>
        <w:spacing w:beforeLines="50" w:afterLines="50" w:line="360" w:lineRule="auto"/>
        <w:jc w:val="both"/>
        <w:textAlignment w:val="auto"/>
        <w:outlineLvl w:val="1"/>
        <w:rPr>
          <w:rFonts w:hint="eastAsia" w:ascii="仿宋" w:hAnsi="仿宋" w:eastAsia="仿宋" w:cs="仿宋"/>
          <w:b/>
          <w:bCs/>
          <w:sz w:val="32"/>
          <w:szCs w:val="32"/>
          <w:lang w:val="en-US"/>
        </w:rPr>
      </w:pPr>
      <w:bookmarkStart w:id="1" w:name="_Toc498385714"/>
      <w:bookmarkStart w:id="2" w:name="_Toc498385045"/>
      <w:bookmarkStart w:id="3" w:name="_Toc29907"/>
      <w:bookmarkStart w:id="4" w:name="_Toc29323"/>
      <w:r>
        <w:rPr>
          <w:rFonts w:hint="eastAsia" w:ascii="仿宋" w:hAnsi="仿宋" w:eastAsia="仿宋" w:cs="仿宋"/>
          <w:b/>
          <w:bCs/>
          <w:sz w:val="32"/>
          <w:szCs w:val="32"/>
          <w:lang w:val="en-US"/>
        </w:rPr>
        <w:t>（一）</w:t>
      </w:r>
      <w:bookmarkEnd w:id="1"/>
      <w:bookmarkEnd w:id="2"/>
      <w:r>
        <w:rPr>
          <w:rFonts w:hint="eastAsia" w:ascii="仿宋" w:hAnsi="仿宋" w:eastAsia="仿宋" w:cs="仿宋"/>
          <w:b/>
          <w:bCs/>
          <w:sz w:val="32"/>
          <w:szCs w:val="32"/>
          <w:lang w:val="en-US"/>
        </w:rPr>
        <w:t>市县及级行业专项规划概况</w:t>
      </w:r>
      <w:bookmarkEnd w:id="3"/>
      <w:bookmarkEnd w:id="4"/>
    </w:p>
    <w:p w14:paraId="6FB29E6D">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ind w:firstLine="560" w:firstLineChars="200"/>
        <w:jc w:val="both"/>
        <w:textAlignment w:val="auto"/>
        <w:outlineLvl w:val="2"/>
        <w:rPr>
          <w:rFonts w:hint="eastAsia" w:ascii="Times New Roman" w:hAnsi="Times New Roman" w:eastAsia="仿宋" w:cs="Times New Roman"/>
          <w:b w:val="0"/>
          <w:bCs/>
          <w:kern w:val="2"/>
          <w:sz w:val="28"/>
          <w:szCs w:val="28"/>
          <w:lang w:val="en-US" w:eastAsia="zh-CN"/>
        </w:rPr>
      </w:pPr>
      <w:bookmarkStart w:id="5" w:name="_Toc30057"/>
      <w:bookmarkStart w:id="6" w:name="_Toc9841"/>
      <w:bookmarkStart w:id="7" w:name="_Toc8651"/>
      <w:bookmarkStart w:id="8" w:name="_Toc18204"/>
      <w:bookmarkStart w:id="9" w:name="_Toc19274"/>
      <w:bookmarkStart w:id="10" w:name="_Toc21332"/>
      <w:bookmarkStart w:id="11" w:name="_Toc30768"/>
      <w:bookmarkStart w:id="12" w:name="_Toc3378"/>
      <w:bookmarkStart w:id="13" w:name="_Toc29490"/>
      <w:r>
        <w:rPr>
          <w:rFonts w:hint="eastAsia" w:ascii="Times New Roman" w:hAnsi="Times New Roman" w:eastAsia="仿宋" w:cs="Times New Roman"/>
          <w:b w:val="0"/>
          <w:bCs/>
          <w:kern w:val="2"/>
          <w:sz w:val="28"/>
          <w:szCs w:val="28"/>
          <w:lang w:val="en-US" w:eastAsia="zh-CN"/>
        </w:rPr>
        <w:t>1.广安区基本情况</w:t>
      </w:r>
    </w:p>
    <w:p w14:paraId="22996F23">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（1）社会发展现状</w:t>
      </w:r>
    </w:p>
    <w:p w14:paraId="6429D6DF">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广安区位于四川省东部，华蓥山中段西侧，长江二级支流渠江下游，介于东经106°32′—107°03′，北纬30°18′—30°50′，南北长47公里，东西宽49公里。东邻广安区、邻水县，南接华蓥市，西连岳池县，北靠渠县、蓬安县。南至重庆市区130公里，西距成都市380公里，幅员面积1027.75平方公里。</w:t>
      </w:r>
    </w:p>
    <w:p w14:paraId="17022999">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广安区大力实施“1235”发展战略，即崛起官盛新区“一座”新城，构建成渝经济区区域性现代商贸服务中心、中国西部生态文化旅游中心“两大”中心，加强川渝合作示范区、新型城镇化、农业现代化“三大”建设，推进感恩纪念、交通畅达、农田水利、生态文明、民生改善“五大”工程。</w:t>
      </w:r>
    </w:p>
    <w:p w14:paraId="542C957F">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（2）经济发展现状</w:t>
      </w:r>
    </w:p>
    <w:p w14:paraId="363335F9">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广安区辖区（简称全区，下同）地区生产总值（GDP）255.5亿元，增长1.4%，其中，一、二、三产业增加值分别为41.7亿元、36.2亿元和177.6亿元，分别增长3.8%、-4.6%和2.2%，一、二、三产业对经济的贡献率分别为43.1%、-50.0%和106.9%，分别拉动GDP增长0.6、-0.7和1.5个百分点。三次产业结构由上年的16.4：15.4：68.2调整为16.3：14.2：69.5。区本级地区生产总值（GDP）227.7亿元，增长1.7%，其中，一、二、三产业增加值分别为38.1亿元、32.4亿元和157.2亿元，分别增长3.8%、-4.1%和2.5%，一、二、三产业对经济的贡献率分别为37.6%、-38.0%和100.5%，分别拉动GDP增长0.6、-0.7和1.7个百分点；三次产业结构由上年的16.7：15.9：67.4调整为16.7：14.2：69.1。</w:t>
      </w:r>
    </w:p>
    <w:p w14:paraId="76FABCCB">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2"/>
        <w:rPr>
          <w:rFonts w:hint="default"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2.</w:t>
      </w:r>
      <w:r>
        <w:rPr>
          <w:rFonts w:hint="default" w:ascii="仿宋" w:hAnsi="仿宋" w:eastAsia="仿宋" w:cs="仿宋"/>
          <w:b w:val="0"/>
          <w:bCs w:val="0"/>
          <w:caps/>
          <w:kern w:val="2"/>
          <w:sz w:val="28"/>
          <w:szCs w:val="28"/>
          <w:lang w:val="en-US" w:eastAsia="zh-CN" w:bidi="ar-SA"/>
        </w:rPr>
        <w:t>行业专项规划概况</w:t>
      </w:r>
    </w:p>
    <w:p w14:paraId="44F0A438">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（1）国家层面</w:t>
      </w:r>
    </w:p>
    <w:p w14:paraId="295AFDA0">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国家发展改革委、工业和信息化部、民政部、财政部、住房城乡建设部、交通运输部、农业农村部、商务部、国家卫生健康委、市场监管总局等部门印发《进一步优化供给推动消费平稳增长促进形成强大国内市场的实施方案(2019年)》重点考虑是加快推进老旧小区和老年家庭适老化改造，鼓励有条件的地方对家装电梯等给予补贴。提出：“以稳城镇的消费来稳住区域消费”。</w:t>
      </w:r>
    </w:p>
    <w:p w14:paraId="5FDE8B4D">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2020年7月20日，国务院办公厅印发《关于全面推进城镇老旧小区改造工作的指导意见》（国办发〔2020〕23号，以下简称《指导意见》），对全国城镇老旧小区改造工作进行了总体部署，坚持以人民为中心的发展思想，坚持新发展理念，按照高质量发展要求，大力改造提升城镇老旧小区，改善居民居住条件，推动构建“纵向到底、横向到边、共建共治共享”的社区治理体系，让人民群众生活更方便、更舒心、更美好。</w:t>
      </w:r>
    </w:p>
    <w:p w14:paraId="386B7954">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（2）省级层面</w:t>
      </w:r>
    </w:p>
    <w:p w14:paraId="749CDFC5">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省政府办公厅印发了《关于全面推进城镇老旧小区改造工作的实施意见》（川办发〔2020〕63号，以下简称《实施意见》）“坚持以人民为中心的发展思想，坚持新发展理念，树立“存量思维”，大力改造提升城镇老旧小区，推进城市更新和开发建设方式转型，按照高质量发展和高品质生活宜居地建设要求，不断满足人民日益增长的美好生活需要。”</w:t>
      </w:r>
    </w:p>
    <w:p w14:paraId="69351F1C">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四川省国民经济和社会发展第十四个五年规划和二〇三五年远景目标纲要》提出：“全面提升城市品质。实施城市更新行动，加强城市规划设计，强化城中村和城乡接合部的规划建设管理。建设韧性城市，提升城市建筑灾害防御能力，完善应急基础设施。建设绿色城市，打造生态休闲公园和绿色健身廊道，构建城市生态绿地系统，优化城市路网结构，提升绿色出行便利程度。建设智慧城市，推进社区治理、交通管理等领域智慧创新应用。建设人文城市，传承历史文脉，保护城市传统风貌，加强历史文化街区保护利用，建设文化休闲街区。改造老旧街区、老旧小区、老旧厂区，改善提升人居环境质量。推动智能建造、绿色建材与建筑工业化协同发展。</w:t>
      </w:r>
    </w:p>
    <w:p w14:paraId="014F006F">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（3）市级层面</w:t>
      </w:r>
    </w:p>
    <w:p w14:paraId="3D688D3F">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广安市国民经济和社会发展第十四个五年规划和二〇三五年远景目标纲要》指出，显著提升中心城区发展能级，大力实施城市提质工程，优化城市路网结构，完善市政基础设施，建设城市绿地、城市公园、便捷交通、慢行系统，统筹提升渠江主城区段两岸景观，建成一批花街、花道、花园、花海，打造一批旅游休闲街区，大力实施城市更新行动，全面推进城镇老旧小区改造，显著提升城市颜值和品位。</w:t>
      </w:r>
    </w:p>
    <w:p w14:paraId="2EE5D87C">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切实增强城镇综合承载力。推进以县城为重要载体的新型城镇化建设，大力提升县城公共设施和服务能力。加快县城城镇化补短板强弱项，提标扩面医疗卫生、教育、养老托育、文化体育、社会福利和社区综合服务等公共服务设施，提档升级市政交通、市政管网、配送投递、老旧小区等公用设施，提质增效产业平台配套、冷链物流设施和农贸市场等产业培育设施。实施城镇生活污水和城乡生活垃圾处理设施建设三年推进方案，提级扩能垃圾无害化资源化处理、污水集中处理和县城公共厕所建设等环境卫生设施。</w:t>
      </w:r>
    </w:p>
    <w:p w14:paraId="205AF701">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default" w:ascii="仿宋" w:hAnsi="仿宋" w:eastAsia="仿宋" w:cs="仿宋"/>
          <w:b w:val="0"/>
          <w:bCs w:val="0"/>
          <w:caps/>
          <w:kern w:val="2"/>
          <w:sz w:val="28"/>
          <w:szCs w:val="28"/>
          <w:lang w:val="en-US" w:eastAsia="zh-CN" w:bidi="ar-SA"/>
        </w:rPr>
        <w:t>本项目建设内容符合《广安市国民经济和社会发展第十四个五年规划和二〇三五年远景目标纲要》等文件要求。</w:t>
      </w:r>
    </w:p>
    <w:p w14:paraId="273C1206">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jc w:val="both"/>
        <w:textAlignment w:val="auto"/>
        <w:outlineLvl w:val="1"/>
        <w:rPr>
          <w:rFonts w:hint="default" w:ascii="黑体" w:hAnsi="黑体" w:eastAsia="黑体" w:cs="黑体"/>
          <w:sz w:val="32"/>
          <w:szCs w:val="32"/>
          <w:lang w:val="en-US" w:eastAsia="zh-CN"/>
        </w:rPr>
      </w:pPr>
      <w:r>
        <w:rPr>
          <w:rFonts w:hint="eastAsia" w:ascii="仿宋" w:hAnsi="仿宋" w:eastAsia="仿宋" w:cs="仿宋"/>
          <w:b/>
          <w:bCs/>
          <w:sz w:val="32"/>
          <w:szCs w:val="32"/>
          <w:lang w:val="en-US" w:eastAsia="zh-CN"/>
        </w:rPr>
        <w:t>（二）项目情况</w:t>
      </w:r>
      <w:bookmarkEnd w:id="5"/>
      <w:bookmarkEnd w:id="6"/>
      <w:bookmarkEnd w:id="7"/>
      <w:bookmarkEnd w:id="8"/>
      <w:bookmarkEnd w:id="9"/>
      <w:bookmarkEnd w:id="10"/>
      <w:bookmarkEnd w:id="11"/>
      <w:bookmarkEnd w:id="12"/>
    </w:p>
    <w:p w14:paraId="65A07D95">
      <w:pPr>
        <w:pStyle w:val="2"/>
        <w:outlineLvl w:val="2"/>
        <w:rPr>
          <w:rFonts w:hint="eastAsia" w:ascii="仿宋" w:hAnsi="仿宋" w:eastAsia="仿宋" w:cs="仿宋"/>
          <w:b/>
          <w:bCs/>
          <w:sz w:val="32"/>
          <w:szCs w:val="32"/>
          <w:lang w:val="en-US" w:eastAsia="zh-CN"/>
        </w:rPr>
      </w:pPr>
      <w:bookmarkStart w:id="14" w:name="_Toc6078"/>
      <w:bookmarkStart w:id="15" w:name="_Toc11692"/>
      <w:bookmarkStart w:id="16" w:name="_Toc1064"/>
      <w:bookmarkStart w:id="17" w:name="_Toc21872"/>
      <w:bookmarkStart w:id="18" w:name="_Toc7914"/>
      <w:bookmarkStart w:id="19" w:name="_Toc14119"/>
      <w:bookmarkStart w:id="20" w:name="_Toc9265"/>
      <w:bookmarkStart w:id="21" w:name="_Toc23988"/>
      <w:r>
        <w:rPr>
          <w:rFonts w:hint="eastAsia" w:ascii="仿宋" w:hAnsi="仿宋" w:eastAsia="仿宋" w:cs="仿宋"/>
          <w:b/>
          <w:bCs/>
          <w:sz w:val="32"/>
          <w:szCs w:val="32"/>
          <w:lang w:val="en-US" w:eastAsia="zh-CN"/>
        </w:rPr>
        <w:t>1.参与主体</w:t>
      </w:r>
      <w:bookmarkEnd w:id="14"/>
      <w:bookmarkEnd w:id="15"/>
      <w:bookmarkEnd w:id="16"/>
      <w:bookmarkEnd w:id="17"/>
      <w:bookmarkEnd w:id="18"/>
      <w:bookmarkEnd w:id="19"/>
      <w:bookmarkEnd w:id="20"/>
      <w:bookmarkEnd w:id="21"/>
    </w:p>
    <w:p w14:paraId="77C38DCB">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ind w:left="0" w:leftChars="0"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实施机构：</w:t>
      </w:r>
      <w:r>
        <w:rPr>
          <w:rFonts w:hint="eastAsia" w:ascii="Times New Roman" w:hAnsi="Times New Roman" w:eastAsia="仿宋" w:cs="Times New Roman"/>
          <w:b w:val="0"/>
          <w:bCs/>
          <w:kern w:val="2"/>
          <w:sz w:val="28"/>
          <w:szCs w:val="28"/>
          <w:lang w:val="en-US" w:eastAsia="zh-CN"/>
        </w:rPr>
        <w:t>广安市广安区住房和城乡建设局</w:t>
      </w:r>
    </w:p>
    <w:p w14:paraId="3C193270">
      <w:pPr>
        <w:ind w:firstLine="560" w:firstLineChars="200"/>
        <w:outlineLvl w:val="9"/>
        <w:rPr>
          <w:rFonts w:hint="eastAsia" w:ascii="Times New Roman" w:hAnsi="Times New Roman" w:eastAsia="仿宋" w:cs="Times New Roman"/>
          <w:b w:val="0"/>
          <w:bCs/>
          <w:kern w:val="2"/>
          <w:sz w:val="28"/>
          <w:szCs w:val="28"/>
          <w:highlight w:val="none"/>
          <w:lang w:val="en-US" w:eastAsia="zh-CN"/>
        </w:rPr>
      </w:pPr>
      <w:r>
        <w:rPr>
          <w:rFonts w:hint="eastAsia" w:ascii="仿宋" w:hAnsi="仿宋" w:eastAsia="仿宋" w:cs="仿宋"/>
          <w:b w:val="0"/>
          <w:bCs w:val="0"/>
          <w:caps/>
          <w:kern w:val="2"/>
          <w:sz w:val="28"/>
          <w:szCs w:val="28"/>
          <w:highlight w:val="none"/>
          <w:lang w:val="en-US" w:eastAsia="zh-CN" w:bidi="ar-SA"/>
        </w:rPr>
        <w:t>业主单位：</w:t>
      </w:r>
      <w:r>
        <w:rPr>
          <w:rFonts w:hint="eastAsia" w:ascii="Times New Roman" w:hAnsi="Times New Roman" w:eastAsia="仿宋" w:cs="Times New Roman"/>
          <w:b w:val="0"/>
          <w:bCs/>
          <w:kern w:val="2"/>
          <w:sz w:val="28"/>
          <w:szCs w:val="28"/>
          <w:highlight w:val="none"/>
          <w:lang w:val="en-US" w:eastAsia="zh-CN"/>
        </w:rPr>
        <w:t>广安市广安区住房和城乡建设局</w:t>
      </w:r>
    </w:p>
    <w:p w14:paraId="66A6FE4B">
      <w:pPr>
        <w:pageBreakBefore w:val="0"/>
        <w:numPr>
          <w:ilvl w:val="2"/>
          <w:numId w:val="0"/>
        </w:numPr>
        <w:tabs>
          <w:tab w:val="left" w:pos="0"/>
        </w:tabs>
        <w:kinsoku/>
        <w:wordWrap/>
        <w:overflowPunct/>
        <w:topLinePunct w:val="0"/>
        <w:bidi w:val="0"/>
        <w:spacing w:before="381" w:after="190" w:line="360" w:lineRule="auto"/>
        <w:ind w:firstLine="643" w:firstLineChars="200"/>
        <w:outlineLvl w:val="2"/>
        <w:rPr>
          <w:rFonts w:hint="eastAsia" w:ascii="仿宋" w:hAnsi="仿宋" w:eastAsia="仿宋" w:cs="仿宋"/>
          <w:b/>
          <w:bCs/>
          <w:kern w:val="0"/>
          <w:sz w:val="32"/>
          <w:szCs w:val="32"/>
          <w:highlight w:val="none"/>
          <w:lang w:val="en-US" w:eastAsia="zh-CN" w:bidi="ar-SA"/>
        </w:rPr>
      </w:pPr>
      <w:bookmarkStart w:id="22" w:name="_Toc9122"/>
      <w:bookmarkStart w:id="23" w:name="_Toc5326"/>
      <w:bookmarkStart w:id="24" w:name="_Toc6630"/>
      <w:bookmarkStart w:id="25" w:name="_Toc10923"/>
      <w:bookmarkStart w:id="26" w:name="_Toc4294"/>
      <w:bookmarkStart w:id="27" w:name="_Toc14972"/>
      <w:bookmarkStart w:id="28" w:name="_Toc16934"/>
      <w:bookmarkStart w:id="29" w:name="_Toc30046"/>
      <w:bookmarkStart w:id="30" w:name="_Toc22356"/>
      <w:r>
        <w:rPr>
          <w:rFonts w:hint="eastAsia" w:ascii="仿宋" w:hAnsi="仿宋" w:eastAsia="仿宋" w:cs="仿宋"/>
          <w:b/>
          <w:bCs/>
          <w:kern w:val="0"/>
          <w:sz w:val="32"/>
          <w:szCs w:val="32"/>
          <w:highlight w:val="none"/>
          <w:lang w:val="en-US" w:eastAsia="zh-CN" w:bidi="ar-SA"/>
        </w:rPr>
        <w:t>2.项目概况</w:t>
      </w:r>
      <w:bookmarkEnd w:id="22"/>
      <w:bookmarkEnd w:id="23"/>
      <w:bookmarkEnd w:id="24"/>
      <w:bookmarkEnd w:id="25"/>
      <w:bookmarkEnd w:id="26"/>
      <w:bookmarkEnd w:id="27"/>
      <w:bookmarkEnd w:id="28"/>
      <w:bookmarkEnd w:id="29"/>
      <w:bookmarkEnd w:id="30"/>
    </w:p>
    <w:p w14:paraId="2C6588C0">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ind w:left="0" w:leftChars="0"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项目名称：广安区文庙片区老旧小区改造及配套基础设施改造项目</w:t>
      </w:r>
    </w:p>
    <w:p w14:paraId="6BCA5327">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ind w:left="0" w:leftChars="0"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项目所属领域：城镇老旧小区改造</w:t>
      </w:r>
    </w:p>
    <w:p w14:paraId="7445F22A">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ind w:left="0" w:leftChars="0"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项目建设工期：36个月</w:t>
      </w:r>
    </w:p>
    <w:p w14:paraId="73B7B832">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ind w:left="0" w:leftChars="0" w:firstLine="560" w:firstLineChars="200"/>
        <w:jc w:val="both"/>
        <w:textAlignment w:val="auto"/>
        <w:outlineLvl w:val="9"/>
        <w:rPr>
          <w:rFonts w:hint="default"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项目区位：广安市广安区</w:t>
      </w:r>
    </w:p>
    <w:p w14:paraId="323C831E">
      <w:pPr>
        <w:keepNext w:val="0"/>
        <w:keepLines w:val="0"/>
        <w:pageBreakBefore w:val="0"/>
        <w:widowControl/>
        <w:suppressLineNumbers w:val="0"/>
        <w:kinsoku/>
        <w:wordWrap/>
        <w:overflowPunct/>
        <w:topLinePunct w:val="0"/>
        <w:autoSpaceDE/>
        <w:autoSpaceDN/>
        <w:bidi w:val="0"/>
        <w:adjustRightInd/>
        <w:snapToGrid/>
        <w:spacing w:after="180" w:afterAutospacing="0" w:line="360" w:lineRule="auto"/>
        <w:ind w:left="0" w:leftChars="0" w:firstLine="560" w:firstLineChars="200"/>
        <w:jc w:val="both"/>
        <w:textAlignment w:val="auto"/>
        <w:outlineLvl w:val="9"/>
        <w:rPr>
          <w:rFonts w:hint="eastAsia"/>
        </w:rPr>
      </w:pPr>
      <w:r>
        <w:rPr>
          <w:rFonts w:hint="eastAsia" w:ascii="仿宋" w:hAnsi="仿宋" w:eastAsia="仿宋" w:cs="仿宋"/>
          <w:b w:val="0"/>
          <w:bCs w:val="0"/>
          <w:caps/>
          <w:kern w:val="2"/>
          <w:sz w:val="28"/>
          <w:szCs w:val="28"/>
          <w:lang w:val="en-US" w:eastAsia="zh-CN" w:bidi="ar-SA"/>
        </w:rPr>
        <w:t>项目说明：本项目为改扩建工程，本项目资产无抵押或质押情况</w:t>
      </w:r>
    </w:p>
    <w:p w14:paraId="33F90D0D">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both"/>
        <w:textAlignment w:val="auto"/>
        <w:outlineLvl w:val="9"/>
        <w:rPr>
          <w:rFonts w:hint="eastAsia" w:ascii="仿宋" w:hAnsi="仿宋" w:eastAsia="仿宋" w:cs="仿宋"/>
          <w:b w:val="0"/>
          <w:bCs w:val="0"/>
          <w:caps/>
          <w:kern w:val="2"/>
          <w:sz w:val="28"/>
          <w:szCs w:val="28"/>
          <w:lang w:val="en-US" w:eastAsia="zh-CN" w:bidi="ar-SA"/>
        </w:rPr>
      </w:pPr>
      <w:r>
        <w:rPr>
          <w:rFonts w:hint="eastAsia" w:ascii="仿宋" w:hAnsi="仿宋" w:eastAsia="仿宋" w:cs="仿宋"/>
          <w:b w:val="0"/>
          <w:bCs w:val="0"/>
          <w:caps/>
          <w:kern w:val="2"/>
          <w:sz w:val="28"/>
          <w:szCs w:val="28"/>
          <w:lang w:val="en-US" w:eastAsia="zh-CN" w:bidi="ar-SA"/>
        </w:rPr>
        <w:t>建设内容：</w:t>
      </w:r>
      <w:bookmarkEnd w:id="13"/>
      <w:bookmarkStart w:id="31" w:name="_Toc533440322"/>
      <w:bookmarkStart w:id="32" w:name="_Toc522211065"/>
      <w:bookmarkStart w:id="33" w:name="_Toc523481534"/>
      <w:bookmarkStart w:id="34" w:name="_Toc1403"/>
      <w:bookmarkStart w:id="35" w:name="_Toc1720132"/>
      <w:r>
        <w:rPr>
          <w:rFonts w:hint="eastAsia" w:ascii="仿宋" w:hAnsi="仿宋" w:eastAsia="仿宋" w:cs="仿宋"/>
          <w:b w:val="0"/>
          <w:bCs w:val="0"/>
          <w:caps/>
          <w:kern w:val="2"/>
          <w:sz w:val="28"/>
          <w:szCs w:val="28"/>
          <w:lang w:val="en-US" w:eastAsia="zh-CN" w:bidi="ar-SA"/>
        </w:rPr>
        <w:t>本项目拟对广安区文庙片区321个老旧小区（涉及34225户，楼栋数2496栋，建筑面积约350.21万平方米）进行改造，改造道路约8861米、供电管线约54790米、供气管道约46510米、供水管道约66358米、排水管线约5905米、通信管线约15819米、停车位约1700个、非机动车棚约8951平方米，并配套建设养老抚幼服务设施2.5万平方米、社区便民菜市2万平方米、无障碍设施等。</w:t>
      </w:r>
    </w:p>
    <w:p w14:paraId="7AEE5AB0">
      <w:pPr>
        <w:numPr>
          <w:ilvl w:val="0"/>
          <w:numId w:val="0"/>
        </w:numPr>
        <w:spacing w:beforeLines="50" w:afterLines="50" w:line="360" w:lineRule="auto"/>
        <w:jc w:val="both"/>
        <w:outlineLvl w:val="0"/>
        <w:rPr>
          <w:rFonts w:hint="eastAsia" w:ascii="仿宋" w:hAnsi="仿宋" w:eastAsia="仿宋"/>
          <w:b/>
          <w:bCs/>
          <w:sz w:val="32"/>
          <w:szCs w:val="32"/>
          <w:lang w:val="en-US" w:eastAsia="zh-CN"/>
        </w:rPr>
      </w:pPr>
      <w:r>
        <w:rPr>
          <w:rFonts w:hint="eastAsia" w:ascii="仿宋" w:hAnsi="仿宋" w:eastAsia="仿宋"/>
          <w:b/>
          <w:bCs/>
          <w:sz w:val="32"/>
          <w:szCs w:val="32"/>
          <w:lang w:val="en-US" w:eastAsia="zh-CN"/>
        </w:rPr>
        <w:t>二、经济社会效益分析</w:t>
      </w:r>
      <w:bookmarkEnd w:id="31"/>
      <w:bookmarkEnd w:id="32"/>
      <w:bookmarkEnd w:id="33"/>
      <w:bookmarkEnd w:id="34"/>
      <w:bookmarkEnd w:id="35"/>
    </w:p>
    <w:p w14:paraId="252CC1BA">
      <w:pPr>
        <w:pageBreakBefore w:val="0"/>
        <w:widowControl w:val="0"/>
        <w:kinsoku/>
        <w:wordWrap/>
        <w:overflowPunct/>
        <w:topLinePunct w:val="0"/>
        <w:autoSpaceDE/>
        <w:autoSpaceDN/>
        <w:bidi w:val="0"/>
        <w:adjustRightInd/>
        <w:snapToGrid/>
        <w:spacing w:beforeLines="50" w:afterLines="50" w:line="360" w:lineRule="auto"/>
        <w:jc w:val="both"/>
        <w:textAlignment w:val="auto"/>
        <w:outlineLvl w:val="1"/>
        <w:rPr>
          <w:rFonts w:hint="eastAsia" w:ascii="仿宋" w:hAnsi="仿宋" w:eastAsia="仿宋" w:cs="仿宋"/>
          <w:b/>
          <w:bCs/>
          <w:sz w:val="32"/>
          <w:szCs w:val="32"/>
          <w:lang w:val="en-US"/>
        </w:rPr>
      </w:pPr>
      <w:bookmarkStart w:id="36" w:name="_Toc523481535"/>
      <w:bookmarkStart w:id="37" w:name="_Toc17794"/>
      <w:bookmarkStart w:id="38" w:name="_Toc533440323"/>
      <w:bookmarkStart w:id="39" w:name="_Toc522211066"/>
      <w:bookmarkStart w:id="40" w:name="_Toc1720133"/>
      <w:r>
        <w:rPr>
          <w:rFonts w:hint="eastAsia" w:ascii="仿宋" w:hAnsi="仿宋" w:eastAsia="仿宋" w:cs="仿宋"/>
          <w:b/>
          <w:bCs/>
          <w:sz w:val="32"/>
          <w:szCs w:val="32"/>
          <w:lang w:val="en-US"/>
        </w:rPr>
        <w:t>（一）经济效益分析</w:t>
      </w:r>
      <w:bookmarkEnd w:id="36"/>
      <w:bookmarkEnd w:id="37"/>
      <w:bookmarkEnd w:id="38"/>
      <w:bookmarkEnd w:id="39"/>
      <w:bookmarkEnd w:id="40"/>
    </w:p>
    <w:p w14:paraId="7C84143C">
      <w:pPr>
        <w:pageBreakBefore w:val="0"/>
        <w:widowControl w:val="0"/>
        <w:kinsoku/>
        <w:wordWrap/>
        <w:overflowPunct/>
        <w:topLinePunct w:val="0"/>
        <w:autoSpaceDE/>
        <w:autoSpaceDN/>
        <w:bidi w:val="0"/>
        <w:adjustRightInd/>
        <w:snapToGrid/>
        <w:spacing w:beforeLines="50" w:afterLines="50" w:line="360" w:lineRule="auto"/>
        <w:ind w:firstLine="560" w:firstLineChars="200"/>
        <w:jc w:val="both"/>
        <w:textAlignment w:val="auto"/>
        <w:outlineLvl w:val="9"/>
        <w:rPr>
          <w:rFonts w:hint="eastAsia" w:ascii="仿宋" w:hAnsi="仿宋" w:eastAsia="仿宋" w:cs="仿宋"/>
          <w:b w:val="0"/>
          <w:bCs w:val="0"/>
          <w:kern w:val="2"/>
          <w:sz w:val="28"/>
          <w:szCs w:val="28"/>
          <w:lang w:val="en-US" w:eastAsia="zh-CN" w:bidi="ar-SA"/>
        </w:rPr>
      </w:pPr>
      <w:bookmarkStart w:id="41" w:name="_Toc523481538"/>
      <w:bookmarkStart w:id="42" w:name="_Toc523157055"/>
      <w:bookmarkStart w:id="43" w:name="_Toc533440326"/>
      <w:bookmarkStart w:id="44" w:name="_Toc23271"/>
      <w:bookmarkStart w:id="45" w:name="_Toc1720136"/>
      <w:r>
        <w:rPr>
          <w:rFonts w:hint="eastAsia" w:ascii="仿宋" w:hAnsi="仿宋" w:eastAsia="仿宋" w:cs="仿宋"/>
          <w:b w:val="0"/>
          <w:bCs w:val="0"/>
          <w:kern w:val="2"/>
          <w:sz w:val="28"/>
          <w:szCs w:val="28"/>
          <w:lang w:val="en-US" w:eastAsia="zh-CN" w:bidi="ar-SA"/>
        </w:rPr>
        <w:t>项目的实施将对周边区域的生活品质有着广泛的影响，将对社会经济发展与环境保护目标进行有效协调，给广安区的经济带来极大的益处，本项目在运营期除了增加地方财政收入外，经济效益主要体现在以下几个方面：</w:t>
      </w:r>
    </w:p>
    <w:p w14:paraId="2D510024">
      <w:pPr>
        <w:pageBreakBefore w:val="0"/>
        <w:widowControl w:val="0"/>
        <w:kinsoku/>
        <w:wordWrap/>
        <w:overflowPunct/>
        <w:topLinePunct w:val="0"/>
        <w:autoSpaceDE/>
        <w:autoSpaceDN/>
        <w:bidi w:val="0"/>
        <w:adjustRightInd/>
        <w:snapToGrid/>
        <w:spacing w:beforeLines="50" w:afterLines="50" w:line="360" w:lineRule="auto"/>
        <w:ind w:firstLine="560" w:firstLineChars="200"/>
        <w:jc w:val="both"/>
        <w:textAlignment w:val="auto"/>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一是项目基础设施投资运营时需雇佣本地大量的劳动力，这一收入效应在项目投资建设周期和运营周期中通过劳动力成本体现出来。</w:t>
      </w:r>
    </w:p>
    <w:p w14:paraId="616EB093">
      <w:pPr>
        <w:pageBreakBefore w:val="0"/>
        <w:widowControl w:val="0"/>
        <w:kinsoku/>
        <w:wordWrap/>
        <w:overflowPunct/>
        <w:topLinePunct w:val="0"/>
        <w:autoSpaceDE/>
        <w:autoSpaceDN/>
        <w:bidi w:val="0"/>
        <w:adjustRightInd/>
        <w:snapToGrid/>
        <w:spacing w:beforeLines="50" w:afterLines="50" w:line="360" w:lineRule="auto"/>
        <w:ind w:firstLine="560" w:firstLineChars="200"/>
        <w:jc w:val="both"/>
        <w:textAlignment w:val="auto"/>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二是项目的建设增大了该区域招商引资的吸引力，为当地居民提供就业岗位而获得收入，该部分投资的直接收入效应也可分为两部分，其一是固定资产投资（不包括设备投资）增加时带来的收入效应，其二是项目运营时带来的通过工人工资形式取得的收入。项目的建设对增强广安区的综合竞争能力有极大的意义。</w:t>
      </w:r>
    </w:p>
    <w:p w14:paraId="4C875599">
      <w:pPr>
        <w:pageBreakBefore w:val="0"/>
        <w:widowControl w:val="0"/>
        <w:kinsoku/>
        <w:wordWrap/>
        <w:overflowPunct/>
        <w:topLinePunct w:val="0"/>
        <w:autoSpaceDE/>
        <w:autoSpaceDN/>
        <w:bidi w:val="0"/>
        <w:adjustRightInd/>
        <w:snapToGrid/>
        <w:spacing w:beforeLines="50" w:afterLines="50" w:line="360" w:lineRule="auto"/>
        <w:ind w:firstLine="560" w:firstLineChars="200"/>
        <w:jc w:val="both"/>
        <w:textAlignment w:val="auto"/>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三是城镇老旧小区改造，既是民生工程，同时也是一个发展工程。2017年底，住房和城乡建设部在厦门、广州等15个城市启动了城镇老旧小区改造试点。试点城市的实践证明，城镇老旧小区改造花钱不多，惠及面广，不仅帮助居民改善基本居住条件，切实增强人民群众的幸福感、获得感、安全感，也成为扩大投资激发内需的重要举措。抓准老旧小区改造切入点，既能满足群众的期盼，又有利于拓展内需、促消费，同时又不会导致重复建设的重大项目，来扩大有效投资实现稳增长、调结构、惠民生的一举多得之效。故本项目经济效益良好。</w:t>
      </w:r>
    </w:p>
    <w:p w14:paraId="3751BDF7">
      <w:pPr>
        <w:pageBreakBefore w:val="0"/>
        <w:widowControl w:val="0"/>
        <w:kinsoku/>
        <w:wordWrap/>
        <w:overflowPunct/>
        <w:topLinePunct w:val="0"/>
        <w:autoSpaceDE/>
        <w:autoSpaceDN/>
        <w:bidi w:val="0"/>
        <w:adjustRightInd/>
        <w:snapToGrid/>
        <w:spacing w:beforeLines="50" w:afterLines="50" w:line="360" w:lineRule="auto"/>
        <w:jc w:val="both"/>
        <w:textAlignment w:val="auto"/>
        <w:outlineLvl w:val="1"/>
        <w:rPr>
          <w:rFonts w:hint="eastAsia" w:ascii="仿宋" w:hAnsi="仿宋" w:eastAsia="仿宋" w:cs="仿宋"/>
          <w:b/>
          <w:bCs/>
          <w:sz w:val="32"/>
          <w:szCs w:val="32"/>
          <w:lang w:val="en-US"/>
        </w:rPr>
      </w:pPr>
      <w:r>
        <w:rPr>
          <w:rFonts w:hint="eastAsia" w:ascii="仿宋" w:hAnsi="仿宋" w:eastAsia="仿宋" w:cs="仿宋"/>
          <w:b/>
          <w:bCs/>
          <w:sz w:val="32"/>
          <w:szCs w:val="32"/>
          <w:lang w:val="en-US" w:eastAsia="zh-CN"/>
        </w:rPr>
        <w:t>（二）</w:t>
      </w:r>
      <w:r>
        <w:rPr>
          <w:rFonts w:hint="eastAsia" w:ascii="仿宋" w:hAnsi="仿宋" w:eastAsia="仿宋" w:cs="仿宋"/>
          <w:b/>
          <w:bCs/>
          <w:sz w:val="32"/>
          <w:szCs w:val="32"/>
          <w:lang w:val="en-US"/>
        </w:rPr>
        <w:t>社会效益分析</w:t>
      </w:r>
      <w:bookmarkEnd w:id="41"/>
      <w:bookmarkEnd w:id="42"/>
      <w:bookmarkEnd w:id="43"/>
      <w:bookmarkEnd w:id="44"/>
      <w:bookmarkEnd w:id="45"/>
    </w:p>
    <w:p w14:paraId="35C2C042">
      <w:pPr>
        <w:numPr>
          <w:ilvl w:val="0"/>
          <w:numId w:val="0"/>
        </w:numPr>
        <w:spacing w:beforeLines="50" w:afterLines="50" w:line="360" w:lineRule="auto"/>
        <w:ind w:firstLine="560" w:firstLineChars="200"/>
        <w:jc w:val="both"/>
        <w:outlineLvl w:val="9"/>
        <w:rPr>
          <w:rFonts w:hint="eastAsia" w:ascii="仿宋" w:hAnsi="仿宋" w:eastAsia="仿宋" w:cs="仿宋"/>
          <w:b w:val="0"/>
          <w:bCs w:val="0"/>
          <w:kern w:val="2"/>
          <w:sz w:val="28"/>
          <w:szCs w:val="28"/>
          <w:lang w:val="en-US" w:eastAsia="zh-CN" w:bidi="ar-SA"/>
        </w:rPr>
      </w:pPr>
      <w:bookmarkStart w:id="46" w:name="_Toc19320"/>
      <w:r>
        <w:rPr>
          <w:rFonts w:hint="eastAsia" w:ascii="仿宋" w:hAnsi="仿宋" w:eastAsia="仿宋" w:cs="仿宋"/>
          <w:b w:val="0"/>
          <w:bCs w:val="0"/>
          <w:kern w:val="2"/>
          <w:sz w:val="28"/>
          <w:szCs w:val="28"/>
          <w:lang w:val="en-US" w:eastAsia="zh-CN" w:bidi="ar-SA"/>
        </w:rPr>
        <w:t>1、项目建设有利于社会的稳定</w:t>
      </w:r>
    </w:p>
    <w:p w14:paraId="3415B4E9">
      <w:pPr>
        <w:numPr>
          <w:ilvl w:val="0"/>
          <w:numId w:val="0"/>
        </w:numPr>
        <w:spacing w:beforeLines="50" w:afterLines="50" w:line="360" w:lineRule="auto"/>
        <w:ind w:firstLine="560" w:firstLineChars="200"/>
        <w:jc w:val="both"/>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项目的实施将拉动该片区经济社会发展，可吸纳部分剩余劳动力，为当地群众提供就业机会，促进劳动力转移就业，有效地减轻了就业压力，有利于社会的稳定，有利于人民不断增长的物质和文化生活需要的满足。</w:t>
      </w:r>
    </w:p>
    <w:p w14:paraId="2FC4B0EA">
      <w:pPr>
        <w:numPr>
          <w:ilvl w:val="0"/>
          <w:numId w:val="0"/>
        </w:numPr>
        <w:spacing w:beforeLines="50" w:afterLines="50" w:line="360" w:lineRule="auto"/>
        <w:ind w:firstLine="560" w:firstLineChars="200"/>
        <w:jc w:val="both"/>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2、项目建设提高了项目区居民的生活居住条件和生活水平</w:t>
      </w:r>
    </w:p>
    <w:p w14:paraId="49887754">
      <w:pPr>
        <w:numPr>
          <w:ilvl w:val="0"/>
          <w:numId w:val="0"/>
        </w:numPr>
        <w:spacing w:beforeLines="50" w:afterLines="50" w:line="360" w:lineRule="auto"/>
        <w:ind w:firstLine="560" w:firstLineChars="200"/>
        <w:jc w:val="both"/>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项目的实施，改善了居民的生活环境，优化了居民的居住条件。从根本上改变和提高了项目区居民的生活居住条件和生活水平。</w:t>
      </w:r>
    </w:p>
    <w:p w14:paraId="7E4378FD">
      <w:pPr>
        <w:numPr>
          <w:ilvl w:val="0"/>
          <w:numId w:val="0"/>
        </w:numPr>
        <w:spacing w:beforeLines="50" w:afterLines="50" w:line="360" w:lineRule="auto"/>
        <w:ind w:firstLine="560" w:firstLineChars="200"/>
        <w:jc w:val="both"/>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3、项目的建设对增强广安区的综合竞争能力有极大的意义</w:t>
      </w:r>
    </w:p>
    <w:p w14:paraId="0469B94D">
      <w:pPr>
        <w:numPr>
          <w:ilvl w:val="0"/>
          <w:numId w:val="0"/>
        </w:numPr>
        <w:spacing w:beforeLines="50" w:afterLines="50" w:line="360" w:lineRule="auto"/>
        <w:ind w:firstLine="560" w:firstLineChars="200"/>
        <w:jc w:val="both"/>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本项目的实施促进了广安区城镇建设的步伐，改善了广安区的投资环境，将吸引国内外资本参与广安区旅游，将会带动一批重大项目的建设和产业结构的优化升级，为广安区的发展提供广阔的空间，对提升广安区城乡形象、改善投资环境、增强广安区的综合竞争能力有极大的意义。</w:t>
      </w:r>
    </w:p>
    <w:p w14:paraId="1CE55AD3">
      <w:pPr>
        <w:numPr>
          <w:ilvl w:val="0"/>
          <w:numId w:val="0"/>
        </w:numPr>
        <w:spacing w:beforeLines="50" w:afterLines="50" w:line="360" w:lineRule="auto"/>
        <w:ind w:firstLine="560" w:firstLineChars="200"/>
        <w:jc w:val="both"/>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4、项目的建设符合惠民政策，是一项民生工程</w:t>
      </w:r>
    </w:p>
    <w:p w14:paraId="10EAB22D">
      <w:pPr>
        <w:numPr>
          <w:ilvl w:val="0"/>
          <w:numId w:val="0"/>
        </w:numPr>
        <w:spacing w:beforeLines="50" w:afterLines="50" w:line="360" w:lineRule="auto"/>
        <w:ind w:firstLine="560" w:firstLineChars="200"/>
        <w:jc w:val="both"/>
        <w:outlineLvl w:val="9"/>
        <w:rPr>
          <w:rFonts w:hint="eastAsia" w:ascii="仿宋" w:hAnsi="仿宋" w:eastAsia="仿宋" w:cs="仿宋"/>
          <w:b w:val="0"/>
          <w:bCs w:val="0"/>
          <w:kern w:val="2"/>
          <w:sz w:val="28"/>
          <w:szCs w:val="28"/>
          <w:lang w:val="en-US" w:eastAsia="zh-CN" w:bidi="ar-SA"/>
        </w:rPr>
      </w:pPr>
      <w:r>
        <w:rPr>
          <w:rFonts w:hint="eastAsia" w:ascii="仿宋" w:hAnsi="仿宋" w:eastAsia="仿宋" w:cs="仿宋"/>
          <w:b w:val="0"/>
          <w:bCs w:val="0"/>
          <w:kern w:val="2"/>
          <w:sz w:val="28"/>
          <w:szCs w:val="28"/>
          <w:lang w:val="en-US" w:eastAsia="zh-CN" w:bidi="ar-SA"/>
        </w:rPr>
        <w:t>广安区把院落整治作为一项保障和改善民生的工程，以"小院落"撬动"大民生"，以"小投入"取得"大效益"。本项目的建设正是符合这一惠民政策，是一项民生工程。项目建成完成后将有效提升群众对社区的归属感和整治改造的认同感。</w:t>
      </w:r>
    </w:p>
    <w:p w14:paraId="157A8F2A">
      <w:pPr>
        <w:numPr>
          <w:ilvl w:val="0"/>
          <w:numId w:val="0"/>
        </w:numPr>
        <w:spacing w:beforeLines="50" w:afterLines="50" w:line="360" w:lineRule="auto"/>
        <w:jc w:val="both"/>
        <w:outlineLvl w:val="0"/>
        <w:rPr>
          <w:rFonts w:hint="eastAsia" w:ascii="仿宋" w:hAnsi="仿宋" w:eastAsia="仿宋"/>
          <w:b/>
          <w:bCs/>
          <w:sz w:val="32"/>
          <w:szCs w:val="32"/>
          <w:lang w:val="en-US" w:eastAsia="zh-CN"/>
        </w:rPr>
      </w:pPr>
      <w:r>
        <w:rPr>
          <w:rFonts w:hint="eastAsia" w:ascii="仿宋" w:hAnsi="仿宋" w:eastAsia="仿宋"/>
          <w:b/>
          <w:bCs/>
          <w:sz w:val="32"/>
          <w:szCs w:val="32"/>
          <w:lang w:val="en-US" w:eastAsia="zh-CN"/>
        </w:rPr>
        <w:t>三、项目投资估算与资金筹措方案</w:t>
      </w:r>
      <w:bookmarkEnd w:id="46"/>
    </w:p>
    <w:p w14:paraId="191AA923">
      <w:pPr>
        <w:spacing w:beforeLines="50" w:afterLines="50" w:line="360" w:lineRule="auto"/>
        <w:outlineLvl w:val="1"/>
        <w:rPr>
          <w:rFonts w:ascii="仿宋" w:hAnsi="仿宋" w:eastAsia="仿宋"/>
          <w:b/>
          <w:bCs/>
          <w:sz w:val="32"/>
          <w:szCs w:val="32"/>
        </w:rPr>
      </w:pPr>
      <w:bookmarkStart w:id="47" w:name="_Toc523481542"/>
      <w:bookmarkStart w:id="48" w:name="_Toc1720145"/>
      <w:bookmarkStart w:id="49" w:name="_Toc523157062"/>
      <w:bookmarkStart w:id="50" w:name="_Toc5108"/>
      <w:bookmarkStart w:id="51" w:name="_Toc522211078"/>
      <w:bookmarkStart w:id="52" w:name="_Toc533440335"/>
      <w:r>
        <w:rPr>
          <w:rFonts w:hint="eastAsia" w:ascii="仿宋" w:hAnsi="仿宋" w:eastAsia="仿宋"/>
          <w:b/>
          <w:bCs/>
          <w:sz w:val="32"/>
          <w:szCs w:val="32"/>
        </w:rPr>
        <w:t>（一）投资估算</w:t>
      </w:r>
      <w:bookmarkEnd w:id="47"/>
      <w:bookmarkEnd w:id="48"/>
      <w:bookmarkEnd w:id="49"/>
      <w:bookmarkEnd w:id="50"/>
      <w:bookmarkEnd w:id="51"/>
      <w:bookmarkEnd w:id="52"/>
    </w:p>
    <w:p w14:paraId="6558D407">
      <w:pPr>
        <w:spacing w:beforeLines="50" w:afterLines="50" w:line="360" w:lineRule="auto"/>
        <w:ind w:firstLine="560" w:firstLineChars="200"/>
        <w:outlineLvl w:val="9"/>
        <w:rPr>
          <w:rFonts w:hint="default" w:ascii="Times New Roman" w:hAnsi="Times New Roman" w:eastAsia="仿宋" w:cs="Times New Roman"/>
          <w:sz w:val="28"/>
          <w:szCs w:val="28"/>
        </w:rPr>
      </w:pPr>
      <w:bookmarkStart w:id="53" w:name="_Toc23109"/>
      <w:r>
        <w:rPr>
          <w:rFonts w:hint="default" w:ascii="Times New Roman" w:hAnsi="Times New Roman" w:eastAsia="仿宋" w:cs="Times New Roman"/>
          <w:sz w:val="28"/>
          <w:szCs w:val="28"/>
        </w:rPr>
        <w:t>本项目投资总额为65000.00万元，静态总投资为62810.00万元，其中：工程费用48337.51万元、工程建设其他费用10980.05万元、预备费3492.44万元、建设期利息2160.00万元、债券发行费用30.00万元。</w:t>
      </w:r>
    </w:p>
    <w:p w14:paraId="1004DB56">
      <w:pPr>
        <w:spacing w:beforeLines="50" w:afterLines="50" w:line="360" w:lineRule="auto"/>
        <w:outlineLvl w:val="1"/>
        <w:rPr>
          <w:rFonts w:hint="eastAsia" w:ascii="仿宋" w:hAnsi="仿宋" w:eastAsia="仿宋"/>
          <w:b/>
          <w:bCs/>
          <w:sz w:val="32"/>
          <w:szCs w:val="32"/>
        </w:rPr>
      </w:pPr>
      <w:r>
        <w:rPr>
          <w:rFonts w:hint="eastAsia" w:ascii="仿宋" w:hAnsi="仿宋" w:eastAsia="仿宋"/>
          <w:b/>
          <w:bCs/>
          <w:sz w:val="32"/>
          <w:szCs w:val="32"/>
        </w:rPr>
        <w:t>（二）资金筹措方案</w:t>
      </w:r>
      <w:bookmarkEnd w:id="53"/>
    </w:p>
    <w:p w14:paraId="3CB38FBE">
      <w:pPr>
        <w:numPr>
          <w:ilvl w:val="2"/>
          <w:numId w:val="0"/>
        </w:numPr>
        <w:spacing w:before="240" w:after="120"/>
        <w:ind w:firstLine="643" w:firstLineChars="200"/>
        <w:outlineLvl w:val="2"/>
        <w:rPr>
          <w:rFonts w:hint="eastAsia" w:ascii="仿宋" w:hAnsi="仿宋" w:eastAsia="仿宋"/>
          <w:b/>
          <w:bCs/>
          <w:sz w:val="32"/>
          <w:szCs w:val="32"/>
        </w:rPr>
      </w:pPr>
      <w:bookmarkStart w:id="54" w:name="_Toc523481547"/>
      <w:bookmarkStart w:id="55" w:name="_Toc1720150"/>
      <w:bookmarkStart w:id="56" w:name="_Toc522211083"/>
      <w:bookmarkStart w:id="57" w:name="_Toc523157067"/>
      <w:bookmarkStart w:id="58" w:name="_Toc19703"/>
      <w:bookmarkStart w:id="59" w:name="_Toc533440340"/>
      <w:bookmarkStart w:id="60" w:name="_Toc20821"/>
      <w:r>
        <w:rPr>
          <w:rFonts w:hint="eastAsia" w:ascii="仿宋" w:hAnsi="仿宋" w:eastAsia="仿宋"/>
          <w:b/>
          <w:bCs/>
          <w:sz w:val="32"/>
          <w:szCs w:val="32"/>
        </w:rPr>
        <w:t>1.资金来源</w:t>
      </w:r>
      <w:bookmarkEnd w:id="54"/>
      <w:bookmarkEnd w:id="55"/>
      <w:bookmarkEnd w:id="56"/>
      <w:bookmarkEnd w:id="57"/>
      <w:bookmarkEnd w:id="58"/>
      <w:bookmarkEnd w:id="59"/>
      <w:bookmarkEnd w:id="60"/>
    </w:p>
    <w:p w14:paraId="7456084E">
      <w:pPr>
        <w:spacing w:beforeLines="50" w:afterLines="50" w:line="360" w:lineRule="auto"/>
        <w:ind w:firstLine="560" w:firstLineChars="200"/>
        <w:jc w:val="both"/>
        <w:outlineLvl w:val="9"/>
        <w:rPr>
          <w:rFonts w:hint="eastAsia" w:ascii="仿宋" w:hAnsi="仿宋" w:eastAsia="仿宋" w:cs="仿宋"/>
          <w:color w:val="auto"/>
          <w:kern w:val="2"/>
          <w:sz w:val="28"/>
          <w:szCs w:val="28"/>
          <w:lang w:val="en-US" w:eastAsia="zh-CN"/>
        </w:rPr>
      </w:pPr>
      <w:r>
        <w:rPr>
          <w:rFonts w:hint="eastAsia" w:ascii="仿宋" w:hAnsi="仿宋" w:eastAsia="仿宋" w:cs="仿宋"/>
          <w:color w:val="auto"/>
          <w:kern w:val="2"/>
          <w:sz w:val="28"/>
          <w:szCs w:val="28"/>
          <w:lang w:val="en-US" w:eastAsia="zh-CN"/>
        </w:rPr>
        <w:t>资本金来源：本项目资本金均来源于地方财政资金。项目资本金35000.00万元（约占总投资比例为53.85%），根据项目建设实际情况按进度予以支付。</w:t>
      </w:r>
    </w:p>
    <w:p w14:paraId="2B9568E9">
      <w:pPr>
        <w:spacing w:beforeLines="50" w:afterLines="50" w:line="360" w:lineRule="auto"/>
        <w:ind w:firstLine="560" w:firstLineChars="200"/>
        <w:jc w:val="both"/>
        <w:outlineLvl w:val="9"/>
        <w:rPr>
          <w:rFonts w:hint="eastAsia" w:ascii="仿宋" w:hAnsi="仿宋" w:eastAsia="仿宋" w:cs="仿宋"/>
          <w:color w:val="auto"/>
          <w:kern w:val="2"/>
          <w:sz w:val="28"/>
          <w:szCs w:val="28"/>
          <w:lang w:val="en-US" w:eastAsia="zh-CN"/>
        </w:rPr>
      </w:pPr>
      <w:r>
        <w:rPr>
          <w:rFonts w:hint="eastAsia" w:ascii="仿宋" w:hAnsi="仿宋" w:eastAsia="仿宋" w:cs="仿宋"/>
          <w:color w:val="auto"/>
          <w:kern w:val="2"/>
          <w:sz w:val="28"/>
          <w:szCs w:val="28"/>
          <w:lang w:val="en-US" w:eastAsia="zh-CN"/>
        </w:rPr>
        <w:t>融资来源：本项目拟发行政府专项债券总额为30000.00万元，占总投资比例为46.15%。其中：第1年申请发行专项债券15000.00万元，第2年申请发行专项债券7500.00万元，第3年申请发行专项债券7500.00万元。债券发行期限为30年，债券利率按3.20%测算，发行费为面值的1‰。</w:t>
      </w:r>
    </w:p>
    <w:p w14:paraId="5268732A">
      <w:pPr>
        <w:numPr>
          <w:ilvl w:val="0"/>
          <w:numId w:val="0"/>
        </w:numPr>
        <w:spacing w:before="240" w:after="120"/>
        <w:ind w:leftChars="0" w:firstLine="643" w:firstLineChars="200"/>
        <w:outlineLvl w:val="2"/>
        <w:rPr>
          <w:rFonts w:hint="eastAsia" w:ascii="仿宋" w:hAnsi="仿宋" w:eastAsia="仿宋" w:cs="Times New Roman"/>
          <w:b/>
          <w:bCs/>
          <w:sz w:val="32"/>
          <w:szCs w:val="32"/>
        </w:rPr>
      </w:pPr>
      <w:bookmarkStart w:id="61" w:name="_Toc1720152"/>
      <w:bookmarkStart w:id="62" w:name="_Toc523481549"/>
      <w:bookmarkStart w:id="63" w:name="_Toc523157069"/>
      <w:bookmarkStart w:id="64" w:name="_Toc25776"/>
      <w:bookmarkStart w:id="65" w:name="_Toc533440342"/>
      <w:r>
        <w:rPr>
          <w:rFonts w:hint="eastAsia" w:ascii="仿宋" w:hAnsi="仿宋" w:eastAsia="仿宋" w:cs="Times New Roman"/>
          <w:b/>
          <w:bCs/>
          <w:sz w:val="32"/>
          <w:szCs w:val="32"/>
          <w:lang w:val="en-US" w:eastAsia="zh-CN"/>
        </w:rPr>
        <w:t>2.</w:t>
      </w:r>
      <w:r>
        <w:rPr>
          <w:rFonts w:hint="eastAsia" w:ascii="仿宋" w:hAnsi="仿宋" w:eastAsia="仿宋" w:cs="Times New Roman"/>
          <w:b/>
          <w:bCs/>
          <w:sz w:val="32"/>
          <w:szCs w:val="32"/>
        </w:rPr>
        <w:t>资金使用计划</w:t>
      </w:r>
      <w:bookmarkEnd w:id="61"/>
      <w:bookmarkEnd w:id="62"/>
      <w:bookmarkEnd w:id="63"/>
      <w:bookmarkEnd w:id="64"/>
      <w:bookmarkEnd w:id="65"/>
    </w:p>
    <w:p w14:paraId="673E500D">
      <w:pPr>
        <w:spacing w:beforeLines="50" w:afterLines="50" w:line="360" w:lineRule="auto"/>
        <w:ind w:firstLine="560" w:firstLineChars="200"/>
        <w:jc w:val="both"/>
        <w:outlineLvl w:val="9"/>
        <w:rPr>
          <w:rFonts w:hint="eastAsia" w:ascii="仿宋" w:hAnsi="仿宋" w:eastAsia="仿宋" w:cs="仿宋"/>
          <w:color w:val="auto"/>
          <w:kern w:val="2"/>
          <w:sz w:val="28"/>
          <w:szCs w:val="28"/>
          <w:lang w:val="en-US" w:eastAsia="zh-CN"/>
        </w:rPr>
      </w:pPr>
      <w:bookmarkStart w:id="66" w:name="_Toc9196"/>
      <w:r>
        <w:rPr>
          <w:rFonts w:hint="eastAsia" w:ascii="仿宋" w:hAnsi="仿宋" w:eastAsia="仿宋" w:cs="仿宋"/>
          <w:color w:val="auto"/>
          <w:kern w:val="2"/>
          <w:sz w:val="28"/>
          <w:szCs w:val="28"/>
        </w:rPr>
        <w:t>项目所筹资金将根据项目实施计划和实时建设进度来进行合理分配，且将全部投资于本项目，具体数额应当根据进度支出。在保证项目工程投资资金充足的情况下，充分利用且不浪费当年度专项债券融资额度。</w:t>
      </w:r>
    </w:p>
    <w:p w14:paraId="3D51C880">
      <w:pPr>
        <w:spacing w:beforeLines="50" w:afterLines="50" w:line="360" w:lineRule="auto"/>
        <w:jc w:val="both"/>
        <w:outlineLvl w:val="0"/>
        <w:rPr>
          <w:rFonts w:ascii="仿宋" w:hAnsi="仿宋" w:eastAsia="仿宋"/>
          <w:b/>
          <w:bCs/>
          <w:sz w:val="32"/>
          <w:szCs w:val="32"/>
        </w:rPr>
      </w:pPr>
      <w:r>
        <w:rPr>
          <w:rFonts w:hint="eastAsia" w:ascii="仿宋" w:hAnsi="仿宋" w:eastAsia="仿宋"/>
          <w:b/>
          <w:bCs/>
          <w:sz w:val="32"/>
          <w:szCs w:val="32"/>
        </w:rPr>
        <w:t>四、项目预期收益、成本及融资平衡情况</w:t>
      </w:r>
      <w:bookmarkEnd w:id="66"/>
    </w:p>
    <w:p w14:paraId="37216B16">
      <w:pPr>
        <w:spacing w:beforeLines="50" w:afterLines="50" w:line="360" w:lineRule="auto"/>
        <w:outlineLvl w:val="1"/>
        <w:rPr>
          <w:rFonts w:ascii="仿宋" w:hAnsi="仿宋" w:eastAsia="仿宋"/>
          <w:b/>
          <w:bCs/>
          <w:sz w:val="32"/>
          <w:szCs w:val="32"/>
        </w:rPr>
      </w:pPr>
      <w:bookmarkStart w:id="67" w:name="_Toc523157072"/>
      <w:bookmarkStart w:id="68" w:name="_Toc27170"/>
      <w:bookmarkStart w:id="69" w:name="_Toc523481552"/>
      <w:bookmarkStart w:id="70" w:name="_Toc533440345"/>
      <w:bookmarkStart w:id="71" w:name="_Toc522211088"/>
      <w:bookmarkStart w:id="72" w:name="_Toc1720155"/>
      <w:r>
        <w:rPr>
          <w:rFonts w:hint="eastAsia" w:ascii="仿宋" w:hAnsi="仿宋" w:eastAsia="仿宋"/>
          <w:b/>
          <w:bCs/>
          <w:sz w:val="32"/>
          <w:szCs w:val="32"/>
          <w:lang w:eastAsia="zh-CN"/>
        </w:rPr>
        <w:t>（</w:t>
      </w:r>
      <w:r>
        <w:rPr>
          <w:rFonts w:hint="eastAsia" w:ascii="仿宋" w:hAnsi="仿宋" w:eastAsia="仿宋"/>
          <w:b/>
          <w:bCs/>
          <w:sz w:val="32"/>
          <w:szCs w:val="32"/>
          <w:lang w:val="en-US" w:eastAsia="zh-CN"/>
        </w:rPr>
        <w:t>一</w:t>
      </w:r>
      <w:r>
        <w:rPr>
          <w:rFonts w:hint="eastAsia" w:ascii="仿宋" w:hAnsi="仿宋" w:eastAsia="仿宋"/>
          <w:b/>
          <w:bCs/>
          <w:sz w:val="32"/>
          <w:szCs w:val="32"/>
          <w:lang w:eastAsia="zh-CN"/>
        </w:rPr>
        <w:t>）</w:t>
      </w:r>
      <w:r>
        <w:rPr>
          <w:rFonts w:hint="eastAsia" w:ascii="仿宋" w:hAnsi="仿宋" w:eastAsia="仿宋"/>
          <w:b/>
          <w:bCs/>
          <w:sz w:val="32"/>
          <w:szCs w:val="32"/>
        </w:rPr>
        <w:t>预期收益</w:t>
      </w:r>
      <w:bookmarkEnd w:id="67"/>
      <w:bookmarkEnd w:id="68"/>
      <w:bookmarkEnd w:id="69"/>
      <w:bookmarkEnd w:id="70"/>
      <w:bookmarkEnd w:id="71"/>
      <w:bookmarkEnd w:id="72"/>
    </w:p>
    <w:p w14:paraId="3D3F6993">
      <w:pPr>
        <w:spacing w:beforeLines="50" w:afterLines="50" w:line="360" w:lineRule="auto"/>
        <w:ind w:firstLine="643" w:firstLineChars="200"/>
        <w:outlineLvl w:val="2"/>
        <w:rPr>
          <w:rFonts w:hint="eastAsia" w:ascii="仿宋" w:hAnsi="仿宋" w:eastAsia="仿宋"/>
          <w:b/>
          <w:bCs/>
          <w:sz w:val="32"/>
          <w:szCs w:val="32"/>
          <w:lang w:val="en-US" w:eastAsia="zh-CN"/>
        </w:rPr>
      </w:pPr>
      <w:r>
        <w:rPr>
          <w:rFonts w:hint="eastAsia" w:ascii="仿宋" w:hAnsi="仿宋" w:eastAsia="仿宋"/>
          <w:b/>
          <w:bCs/>
          <w:sz w:val="32"/>
          <w:szCs w:val="32"/>
          <w:lang w:val="en-US" w:eastAsia="zh-CN"/>
        </w:rPr>
        <w:t>1.项目收入预测</w:t>
      </w:r>
    </w:p>
    <w:p w14:paraId="02C00A2F">
      <w:pPr>
        <w:spacing w:beforeLines="50" w:afterLines="50" w:line="360" w:lineRule="auto"/>
        <w:ind w:firstLine="562" w:firstLineChars="200"/>
        <w:jc w:val="both"/>
        <w:outlineLvl w:val="9"/>
        <w:rPr>
          <w:rStyle w:val="26"/>
          <w:rFonts w:hint="eastAsia" w:ascii="仿宋" w:hAnsi="仿宋" w:eastAsia="仿宋" w:cs="仿宋"/>
          <w:b/>
          <w:bCs/>
          <w:caps w:val="0"/>
          <w:kern w:val="0"/>
          <w:sz w:val="28"/>
          <w:szCs w:val="28"/>
          <w:lang w:val="en-US" w:eastAsia="zh-CN" w:bidi="ar-SA"/>
        </w:rPr>
      </w:pPr>
      <w:r>
        <w:rPr>
          <w:rStyle w:val="26"/>
          <w:rFonts w:hint="eastAsia"/>
          <w:b/>
          <w:bCs/>
          <w:lang w:val="en-US" w:eastAsia="zh-CN"/>
        </w:rPr>
        <w:t>本项目收入来源</w:t>
      </w:r>
      <w:r>
        <w:rPr>
          <w:rStyle w:val="26"/>
          <w:rFonts w:hint="eastAsia"/>
          <w:lang w:val="en-US" w:eastAsia="zh-CN"/>
        </w:rPr>
        <w:t>：停车收入、广告出租收入、社区服务设施出租收入。</w:t>
      </w:r>
    </w:p>
    <w:p w14:paraId="2A0E89B7">
      <w:pPr>
        <w:pStyle w:val="21"/>
        <w:bidi w:val="0"/>
        <w:outlineLvl w:val="9"/>
        <w:rPr>
          <w:rFonts w:hint="eastAsia"/>
          <w:lang w:val="en-US" w:eastAsia="zh-CN"/>
        </w:rPr>
      </w:pPr>
      <w:r>
        <w:rPr>
          <w:rFonts w:hint="eastAsia"/>
          <w:lang w:val="en-US" w:eastAsia="zh-CN"/>
        </w:rPr>
        <w:t>根据分析可对本项目债券期限内项目收入进行测算。项目计算期内预计总收入为126315.60万元。</w:t>
      </w:r>
    </w:p>
    <w:p w14:paraId="342D9CC2">
      <w:pPr>
        <w:spacing w:beforeLines="50" w:afterLines="50" w:line="360" w:lineRule="auto"/>
        <w:ind w:firstLine="643" w:firstLineChars="200"/>
        <w:outlineLvl w:val="2"/>
        <w:rPr>
          <w:rFonts w:hint="default" w:ascii="仿宋" w:hAnsi="仿宋" w:eastAsia="仿宋"/>
          <w:b/>
          <w:bCs/>
          <w:sz w:val="32"/>
          <w:szCs w:val="32"/>
          <w:lang w:val="en-US" w:eastAsia="zh-CN"/>
        </w:rPr>
      </w:pPr>
      <w:r>
        <w:rPr>
          <w:rFonts w:hint="eastAsia" w:ascii="仿宋" w:hAnsi="仿宋" w:eastAsia="仿宋"/>
          <w:b/>
          <w:bCs/>
          <w:sz w:val="32"/>
          <w:szCs w:val="32"/>
          <w:lang w:val="en-US" w:eastAsia="zh-CN"/>
        </w:rPr>
        <w:t>2.成本预测</w:t>
      </w:r>
    </w:p>
    <w:p w14:paraId="791E7DF2">
      <w:pPr>
        <w:spacing w:beforeLines="50" w:afterLines="50" w:line="360" w:lineRule="auto"/>
        <w:ind w:firstLine="560" w:firstLineChars="200"/>
        <w:outlineLvl w:val="9"/>
        <w:rPr>
          <w:rFonts w:hint="default" w:ascii="仿宋" w:hAnsi="仿宋" w:eastAsia="仿宋" w:cs="仿宋"/>
          <w:sz w:val="28"/>
          <w:szCs w:val="28"/>
          <w:lang w:val="en-US" w:eastAsia="zh-CN"/>
        </w:rPr>
      </w:pPr>
      <w:bookmarkStart w:id="73" w:name="_Toc373"/>
      <w:r>
        <w:rPr>
          <w:rFonts w:hint="eastAsia" w:ascii="仿宋" w:hAnsi="仿宋" w:eastAsia="仿宋" w:cs="仿宋"/>
          <w:sz w:val="28"/>
          <w:szCs w:val="28"/>
          <w:lang w:val="en-US" w:eastAsia="zh-CN"/>
        </w:rPr>
        <w:t>本项目成本包括经营成本（工资及福利费（包括人员工资、社保、管理人员公积金等）、外购原材料、燃料及动力费（一般为电费、水费等）、维修费、管理费用等）、折旧摊销费、财务费用、相关税费。</w:t>
      </w:r>
      <w:r>
        <w:rPr>
          <w:rFonts w:hint="default" w:ascii="仿宋" w:hAnsi="仿宋" w:eastAsia="仿宋" w:cs="仿宋"/>
          <w:sz w:val="28"/>
          <w:szCs w:val="28"/>
          <w:lang w:val="en-US" w:eastAsia="zh-CN"/>
        </w:rPr>
        <w:t>本项目预测期成本费用为</w:t>
      </w:r>
      <w:r>
        <w:rPr>
          <w:rFonts w:hint="eastAsia" w:ascii="仿宋" w:hAnsi="仿宋" w:eastAsia="仿宋" w:cs="仿宋"/>
          <w:sz w:val="28"/>
          <w:szCs w:val="28"/>
          <w:lang w:val="en-US" w:eastAsia="zh-CN"/>
        </w:rPr>
        <w:t>97980.30</w:t>
      </w:r>
      <w:r>
        <w:rPr>
          <w:rFonts w:hint="default" w:ascii="仿宋" w:hAnsi="仿宋" w:eastAsia="仿宋" w:cs="仿宋"/>
          <w:sz w:val="28"/>
          <w:szCs w:val="28"/>
          <w:lang w:val="en-US" w:eastAsia="zh-CN"/>
        </w:rPr>
        <w:t>万元。</w:t>
      </w:r>
    </w:p>
    <w:p w14:paraId="59CCEE06">
      <w:pPr>
        <w:spacing w:beforeLines="50" w:afterLines="50" w:line="360" w:lineRule="auto"/>
        <w:ind w:firstLine="643" w:firstLineChars="200"/>
        <w:outlineLvl w:val="2"/>
        <w:rPr>
          <w:rFonts w:hint="eastAsia" w:ascii="仿宋" w:hAnsi="仿宋" w:eastAsia="仿宋"/>
          <w:b/>
          <w:bCs/>
          <w:sz w:val="32"/>
          <w:szCs w:val="32"/>
          <w:lang w:val="en-US" w:eastAsia="zh-CN"/>
        </w:rPr>
      </w:pPr>
      <w:r>
        <w:rPr>
          <w:rFonts w:hint="eastAsia" w:ascii="仿宋" w:hAnsi="仿宋" w:eastAsia="仿宋"/>
          <w:b/>
          <w:bCs/>
          <w:sz w:val="32"/>
          <w:szCs w:val="32"/>
          <w:lang w:val="en-US" w:eastAsia="zh-CN"/>
        </w:rPr>
        <w:t>3.项目损益</w:t>
      </w:r>
      <w:bookmarkEnd w:id="73"/>
    </w:p>
    <w:p w14:paraId="6E5D4101">
      <w:pPr>
        <w:spacing w:beforeLines="50" w:afterLines="50" w:line="360" w:lineRule="auto"/>
        <w:ind w:firstLine="560" w:firstLineChars="200"/>
        <w:outlineLvl w:val="9"/>
        <w:rPr>
          <w:rFonts w:hint="eastAsia" w:ascii="仿宋" w:hAnsi="仿宋" w:eastAsia="仿宋" w:cs="仿宋"/>
          <w:kern w:val="2"/>
          <w:sz w:val="28"/>
          <w:szCs w:val="28"/>
          <w:lang w:val="en-US" w:eastAsia="zh-CN" w:bidi="ar-SA"/>
        </w:rPr>
      </w:pPr>
      <w:r>
        <w:rPr>
          <w:rFonts w:hint="eastAsia" w:ascii="仿宋" w:hAnsi="仿宋" w:eastAsia="仿宋" w:cs="仿宋"/>
          <w:kern w:val="2"/>
          <w:sz w:val="28"/>
          <w:szCs w:val="28"/>
          <w:lang w:val="en-US" w:eastAsia="zh-CN" w:bidi="ar-SA"/>
        </w:rPr>
        <w:t>本项目在债券存续期内运营总收入预计为126315.60万元，总成本预计为97980.30万元，累计净利润为23563.03万元，本项目息前净现金流量累计109894.60万元，本项目净现金流量为83254.60万元，本项目融资收益覆盖倍数为1.42倍。</w:t>
      </w:r>
    </w:p>
    <w:p w14:paraId="01C19962">
      <w:pPr>
        <w:spacing w:beforeLines="50" w:afterLines="50" w:line="360" w:lineRule="auto"/>
        <w:outlineLvl w:val="1"/>
        <w:rPr>
          <w:rFonts w:hint="eastAsia" w:ascii="仿宋" w:hAnsi="仿宋" w:eastAsia="仿宋" w:cs="Times New Roman"/>
          <w:b/>
          <w:bCs/>
          <w:sz w:val="32"/>
          <w:szCs w:val="32"/>
        </w:rPr>
      </w:pPr>
      <w:r>
        <w:rPr>
          <w:rFonts w:hint="eastAsia" w:ascii="仿宋" w:hAnsi="仿宋" w:eastAsia="仿宋" w:cs="Times New Roman"/>
          <w:b/>
          <w:bCs/>
          <w:sz w:val="32"/>
          <w:szCs w:val="32"/>
          <w:lang w:eastAsia="zh-CN"/>
        </w:rPr>
        <w:t>（</w:t>
      </w:r>
      <w:r>
        <w:rPr>
          <w:rFonts w:hint="eastAsia" w:ascii="仿宋" w:hAnsi="仿宋" w:eastAsia="仿宋" w:cs="Times New Roman"/>
          <w:b/>
          <w:bCs/>
          <w:sz w:val="32"/>
          <w:szCs w:val="32"/>
          <w:lang w:val="en-US" w:eastAsia="zh-CN"/>
        </w:rPr>
        <w:t>二</w:t>
      </w:r>
      <w:r>
        <w:rPr>
          <w:rFonts w:hint="eastAsia" w:ascii="仿宋" w:hAnsi="仿宋" w:eastAsia="仿宋" w:cs="Times New Roman"/>
          <w:b/>
          <w:bCs/>
          <w:sz w:val="32"/>
          <w:szCs w:val="32"/>
          <w:lang w:eastAsia="zh-CN"/>
        </w:rPr>
        <w:t>）</w:t>
      </w:r>
      <w:r>
        <w:rPr>
          <w:rFonts w:hint="eastAsia" w:ascii="仿宋" w:hAnsi="仿宋" w:eastAsia="仿宋" w:cs="Times New Roman"/>
          <w:b/>
          <w:bCs/>
          <w:sz w:val="32"/>
          <w:szCs w:val="32"/>
        </w:rPr>
        <w:t>资金测算平衡情况</w:t>
      </w:r>
    </w:p>
    <w:p w14:paraId="0C438A10">
      <w:pPr>
        <w:spacing w:beforeLines="50" w:afterLines="50" w:line="360" w:lineRule="auto"/>
        <w:ind w:firstLine="643" w:firstLineChars="200"/>
        <w:outlineLvl w:val="2"/>
        <w:rPr>
          <w:rFonts w:hint="eastAsia" w:ascii="仿宋" w:hAnsi="仿宋" w:eastAsia="仿宋"/>
          <w:b/>
          <w:bCs/>
          <w:sz w:val="32"/>
          <w:szCs w:val="32"/>
          <w:lang w:val="en-US" w:eastAsia="zh-CN"/>
        </w:rPr>
      </w:pPr>
      <w:bookmarkStart w:id="74" w:name="_Toc1381"/>
      <w:bookmarkStart w:id="75" w:name="_Toc20333"/>
      <w:bookmarkStart w:id="76" w:name="_Toc24256"/>
      <w:bookmarkStart w:id="77" w:name="_Toc18760766"/>
      <w:r>
        <w:rPr>
          <w:rFonts w:hint="eastAsia" w:ascii="仿宋" w:hAnsi="仿宋" w:eastAsia="仿宋"/>
          <w:b/>
          <w:bCs/>
          <w:sz w:val="32"/>
          <w:szCs w:val="32"/>
          <w:lang w:val="en-US" w:eastAsia="zh-CN"/>
        </w:rPr>
        <w:t>1.项目还本付息计划</w:t>
      </w:r>
      <w:bookmarkEnd w:id="74"/>
      <w:bookmarkEnd w:id="75"/>
      <w:bookmarkEnd w:id="76"/>
      <w:bookmarkEnd w:id="77"/>
    </w:p>
    <w:p w14:paraId="17290F40">
      <w:pPr>
        <w:spacing w:beforeLines="50" w:afterLines="50" w:line="360" w:lineRule="auto"/>
        <w:ind w:firstLine="560" w:firstLineChars="200"/>
        <w:outlineLvl w:val="9"/>
        <w:rPr>
          <w:rFonts w:hint="eastAsia" w:ascii="仿宋" w:hAnsi="仿宋" w:eastAsia="仿宋" w:cs="仿宋"/>
          <w:bCs/>
          <w:color w:val="000000"/>
          <w:sz w:val="28"/>
          <w:szCs w:val="28"/>
        </w:rPr>
      </w:pPr>
      <w:bookmarkStart w:id="78" w:name="_Toc13883"/>
      <w:bookmarkStart w:id="79" w:name="_Toc12782"/>
      <w:bookmarkStart w:id="80" w:name="_Toc15443"/>
      <w:bookmarkStart w:id="81" w:name="_Toc18760767"/>
      <w:r>
        <w:rPr>
          <w:rFonts w:hint="eastAsia" w:ascii="仿宋" w:hAnsi="仿宋" w:eastAsia="仿宋" w:cs="仿宋"/>
          <w:bCs/>
          <w:color w:val="000000"/>
          <w:sz w:val="28"/>
          <w:szCs w:val="28"/>
        </w:rPr>
        <w:t>本项目发行债券需支付的利息，按照3.20%利率计算，每期债券发行期限为30年，每半年付息一次，债券发行期最后一年偿还本金。债券存续期内累计需支付利息28800.00万元，其中：专项债券建设期利息计2160.00万元计入建设成本，专项债券在运营期间产生的利息费用26640.00万元。</w:t>
      </w:r>
    </w:p>
    <w:p w14:paraId="43AF670D">
      <w:pPr>
        <w:spacing w:beforeLines="50" w:afterLines="50" w:line="360" w:lineRule="auto"/>
        <w:ind w:firstLine="643" w:firstLineChars="200"/>
        <w:outlineLvl w:val="2"/>
        <w:rPr>
          <w:rFonts w:hint="eastAsia" w:ascii="仿宋" w:hAnsi="仿宋" w:eastAsia="仿宋"/>
          <w:b/>
          <w:bCs/>
          <w:sz w:val="32"/>
          <w:szCs w:val="32"/>
          <w:lang w:val="en-US" w:eastAsia="zh-CN"/>
        </w:rPr>
      </w:pPr>
      <w:r>
        <w:rPr>
          <w:rFonts w:hint="eastAsia" w:ascii="仿宋" w:hAnsi="仿宋" w:eastAsia="仿宋"/>
          <w:b/>
          <w:bCs/>
          <w:sz w:val="32"/>
          <w:szCs w:val="32"/>
          <w:lang w:val="en-US" w:eastAsia="zh-CN"/>
        </w:rPr>
        <w:t>2.项目资金平衡情况</w:t>
      </w:r>
      <w:bookmarkEnd w:id="78"/>
      <w:bookmarkEnd w:id="79"/>
      <w:bookmarkEnd w:id="80"/>
      <w:bookmarkEnd w:id="81"/>
    </w:p>
    <w:p w14:paraId="62BE64E3">
      <w:pPr>
        <w:spacing w:beforeLines="50" w:afterLines="50" w:line="360" w:lineRule="auto"/>
        <w:ind w:firstLine="560" w:firstLineChars="200"/>
        <w:jc w:val="both"/>
        <w:outlineLvl w:val="9"/>
        <w:rPr>
          <w:rFonts w:hint="eastAsia" w:ascii="仿宋" w:hAnsi="仿宋" w:eastAsia="仿宋" w:cs="仿宋"/>
          <w:kern w:val="2"/>
          <w:sz w:val="28"/>
          <w:szCs w:val="28"/>
          <w:lang w:val="en-US"/>
        </w:rPr>
      </w:pPr>
      <w:r>
        <w:rPr>
          <w:rFonts w:hint="eastAsia" w:ascii="仿宋" w:hAnsi="仿宋" w:eastAsia="仿宋" w:cs="仿宋"/>
          <w:kern w:val="2"/>
          <w:sz w:val="28"/>
          <w:szCs w:val="28"/>
          <w:lang w:val="en-US"/>
        </w:rPr>
        <w:t>（1）资金平衡情况</w:t>
      </w:r>
    </w:p>
    <w:p w14:paraId="7D5AFDB1">
      <w:pPr>
        <w:spacing w:beforeLines="50" w:afterLines="50" w:line="360" w:lineRule="auto"/>
        <w:ind w:firstLine="560" w:firstLineChars="200"/>
        <w:jc w:val="both"/>
        <w:outlineLvl w:val="9"/>
        <w:rPr>
          <w:rFonts w:hint="eastAsia" w:ascii="仿宋" w:hAnsi="仿宋" w:eastAsia="仿宋" w:cs="仿宋"/>
          <w:kern w:val="2"/>
          <w:sz w:val="28"/>
          <w:szCs w:val="28"/>
          <w:lang w:val="en-US"/>
        </w:rPr>
      </w:pPr>
      <w:r>
        <w:rPr>
          <w:rFonts w:hint="eastAsia" w:ascii="仿宋" w:hAnsi="仿宋" w:eastAsia="仿宋" w:cs="仿宋"/>
          <w:kern w:val="2"/>
          <w:sz w:val="28"/>
          <w:szCs w:val="28"/>
          <w:lang w:val="en-US"/>
        </w:rPr>
        <w:t>若项目在满足上述资金筹集计划、项目实施计划、资金使用计划及预期收益的假设前提下，政府专项债到期日累计资金结余53254.60万元，项目在预测期内可实现息前净现金流109894.60万元，净现金流量83254.60万元，政府专项债券到期本息合计58800.00万元，本项目净现金流量/政府专项债本息的融资收益覆盖倍数为1.42倍。期间不存在资金缺口。</w:t>
      </w:r>
    </w:p>
    <w:p w14:paraId="2084A62A">
      <w:pPr>
        <w:spacing w:beforeLines="50" w:afterLines="50" w:line="360" w:lineRule="auto"/>
        <w:ind w:firstLine="560" w:firstLineChars="200"/>
        <w:jc w:val="both"/>
        <w:outlineLvl w:val="9"/>
        <w:rPr>
          <w:rFonts w:hint="eastAsia" w:ascii="仿宋" w:hAnsi="仿宋" w:eastAsia="仿宋" w:cs="仿宋"/>
          <w:kern w:val="2"/>
          <w:sz w:val="28"/>
          <w:szCs w:val="28"/>
          <w:lang w:val="en-US"/>
        </w:rPr>
      </w:pPr>
      <w:r>
        <w:rPr>
          <w:rFonts w:hint="eastAsia" w:ascii="仿宋" w:hAnsi="仿宋" w:eastAsia="仿宋" w:cs="仿宋"/>
          <w:kern w:val="2"/>
          <w:sz w:val="28"/>
          <w:szCs w:val="28"/>
          <w:lang w:val="en-US"/>
        </w:rPr>
        <w:t>（2）项目运营情况</w:t>
      </w:r>
    </w:p>
    <w:p w14:paraId="45EB5B30">
      <w:pPr>
        <w:spacing w:beforeLines="50" w:afterLines="50" w:line="360" w:lineRule="auto"/>
        <w:ind w:firstLine="560" w:firstLineChars="200"/>
        <w:jc w:val="both"/>
        <w:outlineLvl w:val="9"/>
        <w:rPr>
          <w:rFonts w:hint="eastAsia" w:ascii="仿宋" w:hAnsi="仿宋" w:eastAsia="仿宋" w:cs="仿宋"/>
          <w:kern w:val="2"/>
          <w:sz w:val="28"/>
          <w:szCs w:val="28"/>
          <w:lang w:val="en-US"/>
        </w:rPr>
      </w:pPr>
      <w:r>
        <w:rPr>
          <w:rFonts w:hint="eastAsia" w:ascii="仿宋" w:hAnsi="仿宋" w:eastAsia="仿宋" w:cs="仿宋"/>
          <w:kern w:val="2"/>
          <w:sz w:val="28"/>
          <w:szCs w:val="28"/>
          <w:lang w:val="en-US"/>
        </w:rPr>
        <w:t>项目运营预期收入：</w:t>
      </w:r>
      <w:r>
        <w:rPr>
          <w:rFonts w:hint="eastAsia" w:ascii="仿宋" w:hAnsi="仿宋" w:eastAsia="仿宋" w:cs="仿宋"/>
          <w:kern w:val="2"/>
          <w:sz w:val="28"/>
          <w:szCs w:val="28"/>
          <w:lang w:val="en-US" w:eastAsia="zh-CN"/>
        </w:rPr>
        <w:t>126315.60</w:t>
      </w:r>
      <w:r>
        <w:rPr>
          <w:rFonts w:hint="eastAsia" w:ascii="仿宋" w:hAnsi="仿宋" w:eastAsia="仿宋" w:cs="仿宋"/>
          <w:kern w:val="2"/>
          <w:sz w:val="28"/>
          <w:szCs w:val="28"/>
          <w:lang w:val="en-US"/>
        </w:rPr>
        <w:t>万元</w:t>
      </w:r>
    </w:p>
    <w:p w14:paraId="7EAC2B73">
      <w:pPr>
        <w:spacing w:beforeLines="50" w:afterLines="50" w:line="360" w:lineRule="auto"/>
        <w:ind w:firstLine="560" w:firstLineChars="200"/>
        <w:jc w:val="both"/>
        <w:outlineLvl w:val="9"/>
        <w:rPr>
          <w:rFonts w:hint="eastAsia" w:ascii="仿宋" w:hAnsi="仿宋" w:eastAsia="仿宋" w:cs="仿宋"/>
          <w:kern w:val="2"/>
          <w:sz w:val="28"/>
          <w:szCs w:val="28"/>
          <w:lang w:val="en-US"/>
        </w:rPr>
      </w:pPr>
      <w:r>
        <w:rPr>
          <w:rFonts w:hint="eastAsia" w:ascii="仿宋" w:hAnsi="仿宋" w:eastAsia="仿宋" w:cs="仿宋"/>
          <w:kern w:val="2"/>
          <w:sz w:val="28"/>
          <w:szCs w:val="28"/>
          <w:lang w:val="en-US"/>
        </w:rPr>
        <w:t>经营活动产生的现金流出=项目运营成本（不含财务费用）+其他运营支出；其中，项目运营成本（不含财务费用）</w:t>
      </w:r>
      <w:r>
        <w:rPr>
          <w:rFonts w:hint="eastAsia" w:ascii="仿宋" w:hAnsi="仿宋" w:eastAsia="仿宋" w:cs="仿宋"/>
          <w:kern w:val="2"/>
          <w:sz w:val="28"/>
          <w:szCs w:val="28"/>
          <w:lang w:val="en-US" w:eastAsia="zh-CN"/>
        </w:rPr>
        <w:t>16421.00</w:t>
      </w:r>
      <w:r>
        <w:rPr>
          <w:rFonts w:hint="eastAsia" w:ascii="仿宋" w:hAnsi="仿宋" w:eastAsia="仿宋" w:cs="仿宋"/>
          <w:kern w:val="2"/>
          <w:sz w:val="28"/>
          <w:szCs w:val="28"/>
          <w:lang w:val="en-US"/>
        </w:rPr>
        <w:t>万元，共计</w:t>
      </w:r>
      <w:r>
        <w:rPr>
          <w:rFonts w:hint="eastAsia" w:ascii="仿宋" w:hAnsi="仿宋" w:eastAsia="仿宋" w:cs="仿宋"/>
          <w:kern w:val="2"/>
          <w:sz w:val="28"/>
          <w:szCs w:val="28"/>
          <w:lang w:val="en-US" w:eastAsia="zh-CN"/>
        </w:rPr>
        <w:t>16421.00</w:t>
      </w:r>
      <w:r>
        <w:rPr>
          <w:rFonts w:hint="eastAsia" w:ascii="仿宋" w:hAnsi="仿宋" w:eastAsia="仿宋" w:cs="仿宋"/>
          <w:kern w:val="2"/>
          <w:sz w:val="28"/>
          <w:szCs w:val="28"/>
          <w:lang w:val="en-US"/>
        </w:rPr>
        <w:t>万元。</w:t>
      </w:r>
    </w:p>
    <w:p w14:paraId="75360D7E">
      <w:pPr>
        <w:spacing w:beforeLines="50" w:afterLines="50" w:line="360" w:lineRule="auto"/>
        <w:ind w:firstLine="560" w:firstLineChars="200"/>
        <w:jc w:val="both"/>
        <w:outlineLvl w:val="9"/>
        <w:rPr>
          <w:rFonts w:hint="eastAsia" w:ascii="仿宋" w:hAnsi="仿宋" w:eastAsia="仿宋" w:cs="仿宋"/>
          <w:sz w:val="28"/>
          <w:szCs w:val="28"/>
          <w:lang w:val="en-US" w:eastAsia="zh-CN"/>
        </w:rPr>
        <w:sectPr>
          <w:headerReference r:id="rId3" w:type="default"/>
          <w:footerReference r:id="rId4" w:type="default"/>
          <w:pgSz w:w="11906" w:h="16838"/>
          <w:pgMar w:top="1440" w:right="1800" w:bottom="1440" w:left="1800" w:header="851" w:footer="992" w:gutter="0"/>
          <w:pgNumType w:fmt="decimal"/>
          <w:cols w:space="425" w:num="1"/>
          <w:docGrid w:type="lines" w:linePitch="326" w:charSpace="0"/>
        </w:sectPr>
      </w:pPr>
      <w:r>
        <w:rPr>
          <w:rFonts w:hint="eastAsia" w:ascii="仿宋" w:hAnsi="仿宋" w:eastAsia="仿宋" w:cs="仿宋"/>
          <w:sz w:val="28"/>
          <w:szCs w:val="28"/>
          <w:lang w:val="en-US" w:eastAsia="zh-CN"/>
        </w:rPr>
        <w:t>资金测算平衡情况具体见表下表所示。</w:t>
      </w:r>
    </w:p>
    <w:p w14:paraId="2B0A5F87">
      <w:pPr>
        <w:pStyle w:val="2"/>
        <w:jc w:val="center"/>
        <w:outlineLvl w:val="1"/>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资金平衡测算表</w:t>
      </w:r>
    </w:p>
    <w:p w14:paraId="43166259">
      <w:pPr>
        <w:pStyle w:val="3"/>
        <w:jc w:val="right"/>
        <w:outlineLvl w:val="1"/>
        <w:rPr>
          <w:rFonts w:hint="eastAsia" w:ascii="仿宋" w:hAnsi="仿宋" w:eastAsia="仿宋" w:cs="仿宋"/>
          <w:b/>
          <w:bCs/>
          <w:color w:val="auto"/>
          <w:kern w:val="2"/>
          <w:sz w:val="32"/>
          <w:szCs w:val="32"/>
          <w:highlight w:val="none"/>
          <w:lang w:val="en-US" w:eastAsia="zh-CN" w:bidi="ar-SA"/>
        </w:rPr>
        <w:sectPr>
          <w:headerReference r:id="rId5" w:type="default"/>
          <w:pgSz w:w="16838" w:h="11906" w:orient="landscape"/>
          <w:pgMar w:top="720" w:right="720" w:bottom="720" w:left="720" w:header="851" w:footer="992" w:gutter="0"/>
          <w:pgNumType w:fmt="decimal"/>
          <w:cols w:space="720" w:num="1"/>
          <w:docGrid w:type="lines" w:linePitch="381" w:charSpace="0"/>
        </w:sectPr>
      </w:pPr>
      <w:r>
        <w:rPr>
          <w:rFonts w:hint="eastAsia" w:ascii="仿宋" w:hAnsi="仿宋" w:eastAsia="仿宋" w:cs="仿宋"/>
          <w:b/>
          <w:bCs/>
          <w:caps w:val="0"/>
          <w:kern w:val="0"/>
          <w:sz w:val="24"/>
          <w:szCs w:val="24"/>
          <w:lang w:val="en-US" w:eastAsia="zh-CN" w:bidi="ar-SA"/>
        </w:rPr>
        <w:t>单位：万元</w:t>
      </w:r>
      <w:r>
        <w:rPr>
          <w:rFonts w:ascii="Times New Roman" w:hAnsi="Times New Roman" w:eastAsia="仿宋" w:cs="Times New Roman"/>
          <w:b/>
          <w:bCs/>
          <w:sz w:val="28"/>
          <w:szCs w:val="28"/>
          <w:lang w:val="en-US"/>
        </w:rPr>
        <w:object>
          <v:shape id="_x0000_i1025" o:spt="75" type="#_x0000_t75" style="height:428.15pt;width:769.25pt;" o:ole="t" filled="f" o:preferrelative="t" stroked="t" coordsize="21600,21600">
            <v:path/>
            <v:fill on="f" focussize="0,0"/>
            <v:stroke color="#000000"/>
            <v:imagedata r:id="rId8" o:title=""/>
            <o:lock v:ext="edit" aspectratio="f"/>
            <w10:wrap type="none"/>
            <w10:anchorlock/>
          </v:shape>
          <o:OLEObject Type="Embed" ProgID="Excel.Sheet.12" ShapeID="_x0000_i1025" DrawAspect="Content" ObjectID="_1468075725" r:id="rId7">
            <o:LockedField>false</o:LockedField>
          </o:OLEObject>
        </w:object>
      </w:r>
    </w:p>
    <w:p w14:paraId="6CFBE02C">
      <w:pPr>
        <w:pStyle w:val="8"/>
        <w:keepNext w:val="0"/>
        <w:keepLines w:val="0"/>
        <w:pageBreakBefore w:val="0"/>
        <w:widowControl w:val="0"/>
        <w:kinsoku/>
        <w:wordWrap/>
        <w:overflowPunct/>
        <w:topLinePunct w:val="0"/>
        <w:autoSpaceDE/>
        <w:autoSpaceDN/>
        <w:bidi w:val="0"/>
        <w:adjustRightInd/>
        <w:snapToGrid/>
        <w:spacing w:line="240" w:lineRule="auto"/>
        <w:ind w:left="0" w:leftChars="0" w:right="0" w:rightChars="0"/>
        <w:jc w:val="left"/>
        <w:textAlignment w:val="auto"/>
        <w:rPr>
          <w:rFonts w:hint="eastAsia"/>
          <w:b/>
          <w:bCs/>
          <w:lang w:val="en-US"/>
        </w:rPr>
        <w:sectPr>
          <w:pgSz w:w="16838" w:h="11906" w:orient="landscape"/>
          <w:pgMar w:top="720" w:right="720" w:bottom="720" w:left="720" w:header="851" w:footer="992" w:gutter="0"/>
          <w:pgNumType w:fmt="decimal"/>
          <w:cols w:space="720" w:num="1"/>
          <w:docGrid w:type="lines" w:linePitch="381" w:charSpace="0"/>
        </w:sectPr>
      </w:pPr>
      <w:r>
        <w:rPr>
          <w:rFonts w:hint="default" w:ascii="Times New Roman" w:hAnsi="Times New Roman" w:eastAsia="仿宋" w:cs="Times New Roman"/>
          <w:b/>
          <w:bCs/>
          <w:kern w:val="0"/>
          <w:sz w:val="28"/>
          <w:szCs w:val="28"/>
          <w:lang w:val="en-US" w:eastAsia="zh-CN" w:bidi="ar-SA"/>
        </w:rPr>
        <w:t>续前表：</w:t>
      </w:r>
      <w:r>
        <w:rPr>
          <w:rFonts w:ascii="Times New Roman" w:hAnsi="Times New Roman" w:cs="Times New Roman"/>
          <w:highlight w:val="none"/>
        </w:rPr>
        <w:object>
          <v:shape id="_x0000_i1026" o:spt="75" type="#_x0000_t75" style="height:455.2pt;width:769.25pt;" o:ole="t" filled="f" o:preferrelative="t" stroked="t" coordsize="21600,21600">
            <v:path/>
            <v:fill on="f" focussize="0,0"/>
            <v:stroke color="#000000"/>
            <v:imagedata r:id="rId10" o:title=""/>
            <o:lock v:ext="edit" aspectratio="f"/>
            <w10:wrap type="none"/>
            <w10:anchorlock/>
          </v:shape>
          <o:OLEObject Type="Embed" ProgID="Excel.Sheet.12" ShapeID="_x0000_i1026" DrawAspect="Content" ObjectID="_1468075726" r:id="rId9">
            <o:LockedField>false</o:LockedField>
          </o:OLEObject>
        </w:object>
      </w:r>
    </w:p>
    <w:p w14:paraId="1D738D70">
      <w:pPr>
        <w:adjustRightInd/>
        <w:snapToGrid/>
        <w:spacing w:line="560" w:lineRule="exact"/>
        <w:ind w:firstLine="640"/>
        <w:outlineLvl w:val="0"/>
        <w:rPr>
          <w:rFonts w:eastAsia="黑体"/>
          <w:sz w:val="32"/>
          <w:szCs w:val="32"/>
        </w:rPr>
      </w:pPr>
      <w:r>
        <w:rPr>
          <w:rFonts w:hint="eastAsia" w:eastAsia="黑体"/>
          <w:sz w:val="32"/>
          <w:szCs w:val="32"/>
        </w:rPr>
        <w:t>五、项目绩效目标</w:t>
      </w:r>
    </w:p>
    <w:p w14:paraId="4DDDD061">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（1）项目总体建设目标：</w:t>
      </w:r>
    </w:p>
    <w:p w14:paraId="25BD5B2A">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目标1：改造道路约8861米、供电管线约54790米、供气管道约46510米、供水管道约66358米、排水管线约5905米、通信管线约15819米、停车位约1700个、非机动车棚约8951平方米，并配套建设养老抚幼服务设施2.5万平方米、社区便民菜市2万平方米。</w:t>
      </w:r>
    </w:p>
    <w:p w14:paraId="2D63C5EB">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目标2：在2026年12月底前完成项目竣工验收</w:t>
      </w:r>
    </w:p>
    <w:p w14:paraId="122508AE">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目标3：债券存续期内实现年度收支平衡和总体收支平衡</w:t>
      </w:r>
    </w:p>
    <w:p w14:paraId="4D2FE848">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目标4：带动区域协同发展，提升区域经济发展水平和补齐发展短板。</w:t>
      </w:r>
    </w:p>
    <w:p w14:paraId="3E7FD213">
      <w:pPr>
        <w:spacing w:beforeLines="50" w:afterLines="50" w:line="360" w:lineRule="auto"/>
        <w:ind w:firstLine="560" w:firstLineChars="200"/>
        <w:jc w:val="both"/>
        <w:outlineLvl w:val="1"/>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2、年度目标</w:t>
      </w:r>
    </w:p>
    <w:p w14:paraId="2D7EB00E">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目标1：改造道路约4861米、供电管线约27790米、供气管道约23510米、供水管道约23358米、排水管线约2905米、通信管线约5819米、停车位约700个、非机动车棚约4951平方米。</w:t>
      </w:r>
    </w:p>
    <w:p w14:paraId="387A2460">
      <w:pPr>
        <w:spacing w:beforeLines="50" w:afterLines="50" w:line="360" w:lineRule="auto"/>
        <w:ind w:firstLine="560" w:firstLineChars="200"/>
        <w:jc w:val="both"/>
        <w:outlineLvl w:val="1"/>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3、质量指标</w:t>
      </w:r>
    </w:p>
    <w:p w14:paraId="77812DC4">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指标1：项目竣工验收达标率——≥95%</w:t>
      </w:r>
    </w:p>
    <w:p w14:paraId="76E841CC">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指标2：项目设计方案变更率——≤5%</w:t>
      </w:r>
    </w:p>
    <w:p w14:paraId="0062B1AC">
      <w:pPr>
        <w:spacing w:beforeLines="50" w:afterLines="50" w:line="360" w:lineRule="auto"/>
        <w:ind w:firstLine="560" w:firstLineChars="200"/>
        <w:jc w:val="both"/>
        <w:outlineLvl w:val="1"/>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4、经济效益指标</w:t>
      </w:r>
    </w:p>
    <w:p w14:paraId="03F44CBF">
      <w:pPr>
        <w:pStyle w:val="2"/>
        <w:outlineLvl w:val="9"/>
        <w:rPr>
          <w:rFonts w:hint="default"/>
          <w:lang w:val="en-US" w:eastAsia="zh-CN"/>
        </w:rPr>
      </w:pPr>
      <w:r>
        <w:rPr>
          <w:rFonts w:hint="eastAsia" w:ascii="仿宋" w:hAnsi="仿宋" w:eastAsia="仿宋" w:cs="仿宋"/>
          <w:sz w:val="28"/>
          <w:szCs w:val="28"/>
          <w:lang w:val="en-US" w:eastAsia="zh-CN"/>
        </w:rPr>
        <w:t>指标1：项目总收入——126315.60万元</w:t>
      </w:r>
    </w:p>
    <w:p w14:paraId="5AE0974F">
      <w:pPr>
        <w:spacing w:beforeLines="50" w:afterLines="50" w:line="360" w:lineRule="auto"/>
        <w:ind w:firstLine="560" w:firstLineChars="200"/>
        <w:jc w:val="both"/>
        <w:outlineLvl w:val="1"/>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5、社会效益指标</w:t>
      </w:r>
    </w:p>
    <w:p w14:paraId="4E2626B7">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指标1：提升区域经济发展水平和补齐发展短板——达成预期目标</w:t>
      </w:r>
    </w:p>
    <w:p w14:paraId="3285BACC">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指标2：提供就业岗位——≥20人</w:t>
      </w:r>
    </w:p>
    <w:p w14:paraId="42D2FC32">
      <w:pPr>
        <w:spacing w:beforeLines="50" w:afterLines="50" w:line="360" w:lineRule="auto"/>
        <w:ind w:firstLine="560" w:firstLineChars="200"/>
        <w:jc w:val="both"/>
        <w:outlineLvl w:val="1"/>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6、可持续影响指标</w:t>
      </w:r>
    </w:p>
    <w:p w14:paraId="6F975D35">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指标1：运营期限——≧29年</w:t>
      </w:r>
    </w:p>
    <w:p w14:paraId="7EA51C3F">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指标2：带动区域协同发展——达成预期目标</w:t>
      </w:r>
    </w:p>
    <w:p w14:paraId="76E4DCBC">
      <w:pPr>
        <w:adjustRightInd/>
        <w:snapToGrid/>
        <w:spacing w:line="560" w:lineRule="exact"/>
        <w:ind w:firstLine="640"/>
        <w:outlineLvl w:val="0"/>
        <w:rPr>
          <w:rFonts w:hint="eastAsia" w:eastAsia="黑体"/>
          <w:sz w:val="28"/>
          <w:szCs w:val="32"/>
        </w:rPr>
      </w:pPr>
      <w:r>
        <w:rPr>
          <w:rFonts w:hint="eastAsia" w:eastAsia="黑体"/>
          <w:sz w:val="32"/>
          <w:szCs w:val="32"/>
        </w:rPr>
        <w:t>六、潜在影响项目的风险评估</w:t>
      </w:r>
    </w:p>
    <w:p w14:paraId="64B518BE">
      <w:pPr>
        <w:spacing w:beforeLines="50" w:afterLines="50" w:line="360" w:lineRule="auto"/>
        <w:ind w:firstLine="560" w:firstLineChars="200"/>
        <w:jc w:val="both"/>
        <w:outlineLvl w:val="1"/>
        <w:rPr>
          <w:rFonts w:hint="eastAsia" w:ascii="仿宋" w:hAnsi="仿宋" w:eastAsia="仿宋" w:cs="仿宋"/>
          <w:sz w:val="28"/>
          <w:szCs w:val="28"/>
          <w:lang w:val="en-US" w:eastAsia="zh-CN"/>
        </w:rPr>
      </w:pPr>
      <w:bookmarkStart w:id="82" w:name="_Toc15343"/>
      <w:bookmarkStart w:id="83" w:name="_Toc522211123"/>
      <w:r>
        <w:rPr>
          <w:rFonts w:hint="eastAsia" w:ascii="仿宋" w:hAnsi="仿宋" w:eastAsia="仿宋" w:cs="仿宋"/>
          <w:sz w:val="28"/>
          <w:szCs w:val="28"/>
          <w:lang w:val="en-US" w:eastAsia="zh-CN"/>
        </w:rPr>
        <w:t>1.经营风险</w:t>
      </w:r>
      <w:bookmarkEnd w:id="82"/>
      <w:bookmarkEnd w:id="83"/>
    </w:p>
    <w:p w14:paraId="520C5B15">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风险识别：经营风险是指生产经营的不确定性带来的风险。若项目投入运营后的收入未能达到预测值，将影响项目整体收益，对债券还本付息产生影响。</w:t>
      </w:r>
    </w:p>
    <w:p w14:paraId="469AB80A">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风险控制措施：要求项目管理单位密切关注价格的收取情况，根据实际调整运营成本及业务体系，保证还本付息资金。</w:t>
      </w:r>
      <w:bookmarkStart w:id="84" w:name="_Toc4440"/>
      <w:bookmarkStart w:id="85" w:name="_Toc522211124"/>
    </w:p>
    <w:p w14:paraId="136182F8">
      <w:pPr>
        <w:spacing w:beforeLines="50" w:afterLines="50" w:line="360" w:lineRule="auto"/>
        <w:ind w:firstLine="560" w:firstLineChars="200"/>
        <w:jc w:val="both"/>
        <w:outlineLvl w:val="1"/>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2.市场风险</w:t>
      </w:r>
      <w:bookmarkEnd w:id="84"/>
      <w:bookmarkEnd w:id="85"/>
    </w:p>
    <w:p w14:paraId="683F44A8">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风险识别：在专项债券存续期内，国际、国内宏观经济环境的变化，国家经济政策变动等因素会引起债务资本市场利率的波动，市场利率波动将会对本项目的财务成本产生一定影响，进而影响项目投资收益的平衡。</w:t>
      </w:r>
    </w:p>
    <w:p w14:paraId="7230B844">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风险控制措施：要求项目单位合理安排债券发行金额和债券期限，做好债券的期限配比、还款计划和资金准备。</w:t>
      </w:r>
    </w:p>
    <w:p w14:paraId="5BF5BA9B">
      <w:pPr>
        <w:spacing w:beforeLines="50" w:afterLines="50" w:line="360" w:lineRule="auto"/>
        <w:ind w:firstLine="560" w:firstLineChars="200"/>
        <w:jc w:val="both"/>
        <w:outlineLvl w:val="1"/>
        <w:rPr>
          <w:rFonts w:hint="eastAsia" w:ascii="仿宋" w:hAnsi="仿宋" w:eastAsia="仿宋" w:cs="仿宋"/>
          <w:sz w:val="28"/>
          <w:szCs w:val="28"/>
          <w:lang w:val="en-US" w:eastAsia="zh-CN"/>
        </w:rPr>
      </w:pPr>
      <w:bookmarkStart w:id="86" w:name="_Toc15747"/>
      <w:bookmarkStart w:id="87" w:name="_Toc522211125"/>
      <w:r>
        <w:rPr>
          <w:rFonts w:hint="eastAsia" w:ascii="仿宋" w:hAnsi="仿宋" w:eastAsia="仿宋" w:cs="仿宋"/>
          <w:sz w:val="28"/>
          <w:szCs w:val="28"/>
          <w:lang w:val="en-US" w:eastAsia="zh-CN"/>
        </w:rPr>
        <w:t>3.财务风险</w:t>
      </w:r>
      <w:bookmarkEnd w:id="86"/>
      <w:bookmarkEnd w:id="87"/>
    </w:p>
    <w:p w14:paraId="70D332B5">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风险识别：由于项目建设周期较长，如果在项目建设过程中，受市场因素影响，项目施工所需的原材料价格上涨，将导致项目施工成本增加，财务负担加重，进而影响项目建设进度，以及项目建设期内专项债券的利息兑付，因此面临一定财务风险。</w:t>
      </w:r>
    </w:p>
    <w:p w14:paraId="7860DCDD">
      <w:pPr>
        <w:spacing w:beforeLines="50" w:afterLines="50" w:line="360" w:lineRule="auto"/>
        <w:ind w:firstLine="560" w:firstLineChars="200"/>
        <w:jc w:val="both"/>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风险控制措施：项目可行性研究报告编制过程中，在测算项目总投资时已考虑相关风险。同时，在项目建设过程中，加强项目施工预算管理、招标及合同管理，尽可能控制建设成本。</w:t>
      </w:r>
    </w:p>
    <w:p w14:paraId="55395F59">
      <w:pPr>
        <w:adjustRightInd/>
        <w:snapToGrid/>
        <w:spacing w:line="560" w:lineRule="exact"/>
        <w:ind w:firstLine="640"/>
        <w:outlineLvl w:val="0"/>
        <w:rPr>
          <w:rFonts w:hint="eastAsia" w:eastAsia="黑体"/>
          <w:sz w:val="32"/>
          <w:szCs w:val="32"/>
        </w:rPr>
      </w:pPr>
      <w:r>
        <w:rPr>
          <w:rFonts w:hint="eastAsia" w:eastAsia="黑体"/>
          <w:sz w:val="32"/>
          <w:szCs w:val="32"/>
        </w:rPr>
        <w:t>七、还款保障情况</w:t>
      </w:r>
    </w:p>
    <w:p w14:paraId="649F2CB6">
      <w:pPr>
        <w:adjustRightInd/>
        <w:snapToGrid/>
        <w:spacing w:line="560" w:lineRule="exact"/>
        <w:ind w:firstLine="640"/>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按照《国务院办公厅关于印发地方政府性债务风险应急处置预案的通知》（国办函〔2016〕88号）、《财政部关于印发&lt;地方政府专项债务预算管理办法&gt;的通知》（财预〔2016〕155号）规定，及时按照转贷协议约定逐级向省财政缴纳本级应当承担的专项债还本付息资金，由省财政按照合同约定及时偿还专项债券到期本息。如专项债偿债出现困难，将通过调减投资计划、处置可变现资产、调整预算支出结构等方式筹集资金偿还债务。未按时足额向省财政缴纳专项债券还本付息资金的，省财政采取适当方式扣回。</w:t>
      </w:r>
    </w:p>
    <w:p w14:paraId="2368C930">
      <w:pPr>
        <w:adjustRightInd/>
        <w:snapToGrid/>
        <w:spacing w:line="560" w:lineRule="exact"/>
        <w:outlineLvl w:val="0"/>
        <w:rPr>
          <w:rFonts w:hint="eastAsia" w:ascii="仿宋" w:hAnsi="仿宋" w:eastAsia="仿宋" w:cs="仿宋"/>
          <w:sz w:val="32"/>
          <w:szCs w:val="32"/>
        </w:rPr>
      </w:pPr>
      <w:r>
        <w:rPr>
          <w:rFonts w:hint="eastAsia" w:eastAsia="黑体"/>
          <w:sz w:val="32"/>
          <w:szCs w:val="32"/>
        </w:rPr>
        <w:t>八、主管部门</w:t>
      </w:r>
      <w:r>
        <w:rPr>
          <w:rFonts w:hint="eastAsia" w:eastAsia="黑体"/>
          <w:sz w:val="32"/>
          <w:szCs w:val="32"/>
          <w:lang w:val="en-US" w:eastAsia="zh-CN"/>
        </w:rPr>
        <w:t>和项目单位职责</w:t>
      </w:r>
    </w:p>
    <w:p w14:paraId="46DC3CE8">
      <w:pPr>
        <w:adjustRightInd/>
        <w:snapToGrid/>
        <w:spacing w:line="560" w:lineRule="exact"/>
        <w:ind w:firstLine="640"/>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1.项目主管部门：广安市广安区住房和城乡建设局</w:t>
      </w:r>
    </w:p>
    <w:p w14:paraId="1FAC5FA7">
      <w:pPr>
        <w:adjustRightInd/>
        <w:snapToGrid/>
        <w:spacing w:line="560" w:lineRule="exact"/>
        <w:ind w:firstLine="640"/>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主要职责包括：严格按照基本建设程序建设项目，监督施工方严格按照施工规范施工，确保项目施工安全、项目建设质量、项目工期，切实加强项目建设、运营管理，确保项目收益覆盖债券本息。</w:t>
      </w:r>
    </w:p>
    <w:p w14:paraId="68FF37A3">
      <w:pPr>
        <w:adjustRightInd/>
        <w:snapToGrid/>
        <w:spacing w:line="560" w:lineRule="exact"/>
        <w:ind w:firstLine="640"/>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2.项目资金主管部门：广安区财政局</w:t>
      </w:r>
    </w:p>
    <w:p w14:paraId="664C5B0A">
      <w:pPr>
        <w:adjustRightInd/>
        <w:snapToGrid/>
        <w:spacing w:line="560" w:lineRule="exact"/>
        <w:ind w:firstLine="640"/>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主要职责包括：（1）配合落实项目配套财政资金、专项债券资金；（2）监督项目资金的实际使用情况及对本期债券本息的按期偿付情况。</w:t>
      </w:r>
    </w:p>
    <w:p w14:paraId="3B3808C2">
      <w:pPr>
        <w:adjustRightInd/>
        <w:snapToGrid/>
        <w:spacing w:line="560" w:lineRule="exact"/>
        <w:ind w:firstLine="640"/>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3.项目业主单位：广安市广安区住房和城乡建设局</w:t>
      </w:r>
    </w:p>
    <w:p w14:paraId="65F2CD37">
      <w:pPr>
        <w:adjustRightInd/>
        <w:snapToGrid/>
        <w:spacing w:line="560" w:lineRule="exact"/>
        <w:ind w:firstLine="640"/>
        <w:outlineLvl w:val="9"/>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主要职责包括：（1）根据项目实施计划开展相关工作;（2）保证项目资金的使用与项目实施进度相匹配;（3）定期向行业主管部门、实施机构及项目资金主管部门汇报项目实施进度及项目资金使用情况。</w:t>
      </w:r>
    </w:p>
    <w:p w14:paraId="09BDC7BA">
      <w:pPr>
        <w:keepNext w:val="0"/>
        <w:keepLines w:val="0"/>
        <w:pageBreakBefore w:val="0"/>
        <w:kinsoku/>
        <w:wordWrap/>
        <w:overflowPunct/>
        <w:topLinePunct w:val="0"/>
        <w:autoSpaceDE/>
        <w:autoSpaceDN/>
        <w:bidi w:val="0"/>
        <w:adjustRightInd/>
        <w:snapToGrid/>
        <w:spacing w:line="360" w:lineRule="auto"/>
        <w:ind w:firstLine="640"/>
        <w:textAlignment w:val="auto"/>
        <w:outlineLvl w:val="0"/>
        <w:rPr>
          <w:rFonts w:hint="eastAsia" w:ascii="仿宋" w:hAnsi="仿宋" w:eastAsia="仿宋" w:cs="仿宋"/>
          <w:kern w:val="2"/>
          <w:sz w:val="28"/>
          <w:szCs w:val="28"/>
          <w:lang w:val="en-US" w:eastAsia="zh-CN" w:bidi="ar-SA"/>
        </w:rPr>
      </w:pPr>
      <w:r>
        <w:rPr>
          <w:rFonts w:hint="eastAsia" w:eastAsia="黑体"/>
          <w:sz w:val="32"/>
          <w:szCs w:val="32"/>
        </w:rPr>
        <w:t>九</w:t>
      </w:r>
      <w:r>
        <w:rPr>
          <w:rFonts w:hint="eastAsia" w:eastAsia="黑体"/>
          <w:sz w:val="32"/>
          <w:szCs w:val="32"/>
          <w:lang w:eastAsia="zh-CN"/>
        </w:rPr>
        <w:t>、</w:t>
      </w:r>
      <w:r>
        <w:rPr>
          <w:rFonts w:hint="eastAsia" w:eastAsia="黑体"/>
          <w:sz w:val="32"/>
          <w:szCs w:val="32"/>
        </w:rPr>
        <w:t>补充说明</w:t>
      </w:r>
    </w:p>
    <w:p w14:paraId="66ACD2B5">
      <w:pPr>
        <w:pStyle w:val="2"/>
        <w:keepNext w:val="0"/>
        <w:keepLines w:val="0"/>
        <w:pageBreakBefore w:val="0"/>
        <w:widowControl/>
        <w:kinsoku/>
        <w:wordWrap/>
        <w:overflowPunct/>
        <w:topLinePunct w:val="0"/>
        <w:autoSpaceDE/>
        <w:autoSpaceDN/>
        <w:bidi w:val="0"/>
        <w:adjustRightInd/>
        <w:snapToGrid/>
        <w:spacing w:before="0" w:after="0" w:line="360" w:lineRule="auto"/>
        <w:ind w:firstLine="560" w:firstLineChars="200"/>
        <w:textAlignment w:val="auto"/>
        <w:outlineLvl w:val="9"/>
        <w:rPr>
          <w:rFonts w:hint="default" w:ascii="仿宋" w:hAnsi="仿宋" w:eastAsia="仿宋" w:cs="仿宋"/>
          <w:color w:val="auto"/>
          <w:kern w:val="2"/>
          <w:sz w:val="28"/>
          <w:szCs w:val="28"/>
          <w:lang w:val="en-US" w:eastAsia="zh-CN" w:bidi="ar-SA"/>
        </w:rPr>
      </w:pPr>
      <w:r>
        <w:rPr>
          <w:rFonts w:hint="eastAsia" w:ascii="仿宋" w:hAnsi="仿宋" w:eastAsia="仿宋" w:cs="仿宋"/>
          <w:color w:val="auto"/>
          <w:kern w:val="2"/>
          <w:sz w:val="28"/>
          <w:szCs w:val="28"/>
          <w:lang w:val="en-US" w:eastAsia="zh-CN" w:bidi="ar-SA"/>
        </w:rPr>
        <w:t>此项目债券资金总需求30000.00万元，根据地方政府债务限额管理要求和项目实施进展情况，2024年-2025年已发行15000.00万元。本次拟继续发行5000.00万元，期限30年。该项目实施内容及收益来源未发生变动，在不超过项目债券总需求情况下，债券分批</w:t>
      </w:r>
      <w:bookmarkStart w:id="88" w:name="_GoBack"/>
      <w:bookmarkEnd w:id="88"/>
      <w:r>
        <w:rPr>
          <w:rFonts w:hint="eastAsia" w:ascii="仿宋" w:hAnsi="仿宋" w:eastAsia="仿宋" w:cs="仿宋"/>
          <w:color w:val="auto"/>
          <w:kern w:val="2"/>
          <w:sz w:val="28"/>
          <w:szCs w:val="28"/>
          <w:lang w:val="en-US" w:eastAsia="zh-CN" w:bidi="ar-SA"/>
        </w:rPr>
        <w:t>次跨年发行对项目整体融资平衡不构成实质影响。</w:t>
      </w:r>
    </w:p>
    <w:sectPr>
      <w:pgSz w:w="11906" w:h="16838"/>
      <w:pgMar w:top="1644" w:right="2098" w:bottom="1417" w:left="158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CC"/>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华文楷体">
    <w:altName w:val="宋体"/>
    <w:panose1 w:val="02010600040101010101"/>
    <w:charset w:val="86"/>
    <w:family w:val="auto"/>
    <w:pitch w:val="default"/>
    <w:sig w:usb0="00000000" w:usb1="00000000" w:usb2="00000000" w:usb3="00000000" w:csb0="0004009F" w:csb1="DFD70000"/>
  </w:font>
  <w:font w:name="LF_Kai">
    <w:altName w:val="宋体"/>
    <w:panose1 w:val="00000000000000000000"/>
    <w:charset w:val="86"/>
    <w:family w:val="script"/>
    <w:pitch w:val="default"/>
    <w:sig w:usb0="00000000" w:usb1="00000000" w:usb2="00000010" w:usb3="00000000" w:csb0="00040000" w:csb1="0000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Univers 45 Light">
    <w:altName w:val="Courier New"/>
    <w:panose1 w:val="00000000000000000000"/>
    <w:charset w:val="00"/>
    <w:family w:val="swiss"/>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D6EA5DE">
    <w:pPr>
      <w:pStyle w:val="10"/>
      <w:ind w:firstLine="360"/>
      <w:jc w:val="center"/>
      <w:rPr>
        <w:sz w:val="20"/>
      </w:rPr>
    </w:pPr>
    <w:r>
      <w:rPr>
        <w:sz w:val="20"/>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6C3819">
                          <w:pPr>
                            <w:pStyle w:val="10"/>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9bQWsy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tBazICAABjBAAADgAAAAAAAAABACAAAAAfAQAAZHJzL2Uyb0RvYy54bWxQSwUG&#10;AAAAAAYABgBZAQAAwwUAAAAA&#10;">
              <v:fill on="f" focussize="0,0"/>
              <v:stroke on="f" weight="0.5pt"/>
              <v:imagedata o:title=""/>
              <o:lock v:ext="edit" aspectratio="f"/>
              <v:textbox inset="0mm,0mm,0mm,0mm" style="mso-fit-shape-to-text:t;">
                <w:txbxContent>
                  <w:p w14:paraId="6B6C3819">
                    <w:pPr>
                      <w:pStyle w:val="10"/>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CC4CCD">
    <w:pPr>
      <w:pStyle w:val="11"/>
      <w:pBdr>
        <w:bottom w:val="none" w:color="auto" w:sz="0" w:space="0"/>
      </w:pBdr>
      <w:tabs>
        <w:tab w:val="center" w:pos="4150"/>
        <w:tab w:val="right" w:pos="8300"/>
        <w:tab w:val="clear" w:pos="4153"/>
        <w:tab w:val="clear" w:pos="8306"/>
      </w:tabs>
      <w:spacing w:line="240" w:lineRule="auto"/>
      <w:ind w:firstLine="0" w:firstLineChars="0"/>
    </w:pPr>
  </w:p>
  <w:p w14:paraId="7883166F">
    <w:pPr>
      <w:spacing w:line="240" w:lineRule="auto"/>
      <w:ind w:firstLine="0" w:firstLineChars="0"/>
      <w:rPr>
        <w:rFonts w:hint="eastAsia"/>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6A8887">
    <w:pPr>
      <w:pStyle w:val="11"/>
      <w:pBdr>
        <w:bottom w:val="none" w:color="auto" w:sz="0" w:space="1"/>
      </w:pBdr>
      <w:rPr>
        <w:rFonts w:hint="eastAsia" w:eastAsia="宋体"/>
        <w:lang w:val="en-US" w:eastAsia="zh-C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hmNjAzMWJlZjFkMmQwODUwMTJkYzE2ODFiYmFmYTcifQ=="/>
    <w:docVar w:name="KSO_WPS_MARK_KEY" w:val="2d3808d4-080a-46b2-a033-2dfcb43df983"/>
  </w:docVars>
  <w:rsids>
    <w:rsidRoot w:val="3FA016BB"/>
    <w:rsid w:val="016478F4"/>
    <w:rsid w:val="019422A6"/>
    <w:rsid w:val="02AC5234"/>
    <w:rsid w:val="02DF1D3D"/>
    <w:rsid w:val="03AA7B5F"/>
    <w:rsid w:val="05692F8B"/>
    <w:rsid w:val="06DD649D"/>
    <w:rsid w:val="07D01B5E"/>
    <w:rsid w:val="089B260D"/>
    <w:rsid w:val="08B46C87"/>
    <w:rsid w:val="08BD33F4"/>
    <w:rsid w:val="093E2451"/>
    <w:rsid w:val="09550CC1"/>
    <w:rsid w:val="0B554854"/>
    <w:rsid w:val="0C7C4062"/>
    <w:rsid w:val="0CBE28CD"/>
    <w:rsid w:val="0D03664E"/>
    <w:rsid w:val="0D140625"/>
    <w:rsid w:val="0F271E22"/>
    <w:rsid w:val="0FC25AA9"/>
    <w:rsid w:val="125B1239"/>
    <w:rsid w:val="133129AC"/>
    <w:rsid w:val="13385F37"/>
    <w:rsid w:val="134A0B53"/>
    <w:rsid w:val="138A41C1"/>
    <w:rsid w:val="14294AD0"/>
    <w:rsid w:val="15673B02"/>
    <w:rsid w:val="1598015F"/>
    <w:rsid w:val="15B11EE6"/>
    <w:rsid w:val="16BE3AB0"/>
    <w:rsid w:val="16BE59A3"/>
    <w:rsid w:val="1725340C"/>
    <w:rsid w:val="181D0DEF"/>
    <w:rsid w:val="1825554A"/>
    <w:rsid w:val="19524380"/>
    <w:rsid w:val="195B607F"/>
    <w:rsid w:val="1A1D0C33"/>
    <w:rsid w:val="1A22449B"/>
    <w:rsid w:val="1A89451A"/>
    <w:rsid w:val="1AAB26E2"/>
    <w:rsid w:val="1C623275"/>
    <w:rsid w:val="1D4E55A7"/>
    <w:rsid w:val="1DCB6589"/>
    <w:rsid w:val="1F7252E7"/>
    <w:rsid w:val="20427645"/>
    <w:rsid w:val="21997D01"/>
    <w:rsid w:val="21D7200F"/>
    <w:rsid w:val="221819BC"/>
    <w:rsid w:val="241A4435"/>
    <w:rsid w:val="257E1526"/>
    <w:rsid w:val="265170F2"/>
    <w:rsid w:val="27BB1A8B"/>
    <w:rsid w:val="28754330"/>
    <w:rsid w:val="2A4627F7"/>
    <w:rsid w:val="2B42499D"/>
    <w:rsid w:val="2C45359F"/>
    <w:rsid w:val="2C5B55EB"/>
    <w:rsid w:val="2C772424"/>
    <w:rsid w:val="2D2041E2"/>
    <w:rsid w:val="2D7F180A"/>
    <w:rsid w:val="2D7F3C1B"/>
    <w:rsid w:val="2D9139BA"/>
    <w:rsid w:val="2FE06533"/>
    <w:rsid w:val="307750E9"/>
    <w:rsid w:val="30E402A4"/>
    <w:rsid w:val="31651C7A"/>
    <w:rsid w:val="3195331A"/>
    <w:rsid w:val="333068EB"/>
    <w:rsid w:val="338342F2"/>
    <w:rsid w:val="345E211C"/>
    <w:rsid w:val="348A1163"/>
    <w:rsid w:val="375548D2"/>
    <w:rsid w:val="385173CD"/>
    <w:rsid w:val="39550E85"/>
    <w:rsid w:val="39AB14DF"/>
    <w:rsid w:val="3A606BEE"/>
    <w:rsid w:val="3B3F4A55"/>
    <w:rsid w:val="3B5134C6"/>
    <w:rsid w:val="3D6764E5"/>
    <w:rsid w:val="3DC17E38"/>
    <w:rsid w:val="3E59173A"/>
    <w:rsid w:val="3F7171A7"/>
    <w:rsid w:val="3FA016BB"/>
    <w:rsid w:val="3FBF3121"/>
    <w:rsid w:val="3FE947AA"/>
    <w:rsid w:val="400F0808"/>
    <w:rsid w:val="40E13EB9"/>
    <w:rsid w:val="428065A3"/>
    <w:rsid w:val="42E85458"/>
    <w:rsid w:val="43525542"/>
    <w:rsid w:val="448F7DDB"/>
    <w:rsid w:val="44F25523"/>
    <w:rsid w:val="454C6DEE"/>
    <w:rsid w:val="45F33215"/>
    <w:rsid w:val="46585B96"/>
    <w:rsid w:val="46FF7BD5"/>
    <w:rsid w:val="487E46E3"/>
    <w:rsid w:val="49B20AE8"/>
    <w:rsid w:val="4A225C6E"/>
    <w:rsid w:val="4AFE23CE"/>
    <w:rsid w:val="4B094738"/>
    <w:rsid w:val="4BA91FD8"/>
    <w:rsid w:val="4C383D20"/>
    <w:rsid w:val="4C3B065C"/>
    <w:rsid w:val="4D9F7B9D"/>
    <w:rsid w:val="4DE90850"/>
    <w:rsid w:val="4E0538DC"/>
    <w:rsid w:val="4FC11A85"/>
    <w:rsid w:val="4FE54DD3"/>
    <w:rsid w:val="512322CB"/>
    <w:rsid w:val="515E42D3"/>
    <w:rsid w:val="52900446"/>
    <w:rsid w:val="539C566F"/>
    <w:rsid w:val="54C24411"/>
    <w:rsid w:val="56A812A9"/>
    <w:rsid w:val="56AC797B"/>
    <w:rsid w:val="5794408F"/>
    <w:rsid w:val="59070080"/>
    <w:rsid w:val="59916D7C"/>
    <w:rsid w:val="5B5473DC"/>
    <w:rsid w:val="5C606182"/>
    <w:rsid w:val="5CFB2AF2"/>
    <w:rsid w:val="5D221689"/>
    <w:rsid w:val="5DB25F7C"/>
    <w:rsid w:val="5DEF17A5"/>
    <w:rsid w:val="612B4E50"/>
    <w:rsid w:val="621951BC"/>
    <w:rsid w:val="635B2E37"/>
    <w:rsid w:val="63D63372"/>
    <w:rsid w:val="641937E6"/>
    <w:rsid w:val="651C2EE6"/>
    <w:rsid w:val="655B7E2E"/>
    <w:rsid w:val="65F64108"/>
    <w:rsid w:val="667A754C"/>
    <w:rsid w:val="670A7C57"/>
    <w:rsid w:val="679A19BD"/>
    <w:rsid w:val="67FB3202"/>
    <w:rsid w:val="68496314"/>
    <w:rsid w:val="695A26B0"/>
    <w:rsid w:val="698750D7"/>
    <w:rsid w:val="6A9516EC"/>
    <w:rsid w:val="6ACA28B9"/>
    <w:rsid w:val="6AEB7832"/>
    <w:rsid w:val="6B2E643B"/>
    <w:rsid w:val="6C2C198C"/>
    <w:rsid w:val="6CB247D7"/>
    <w:rsid w:val="6D4F0278"/>
    <w:rsid w:val="6F20257D"/>
    <w:rsid w:val="7104581E"/>
    <w:rsid w:val="716442CB"/>
    <w:rsid w:val="718860E6"/>
    <w:rsid w:val="723637B5"/>
    <w:rsid w:val="72A65155"/>
    <w:rsid w:val="739A5FC5"/>
    <w:rsid w:val="73D019E7"/>
    <w:rsid w:val="742B3769"/>
    <w:rsid w:val="77090774"/>
    <w:rsid w:val="77AB254F"/>
    <w:rsid w:val="78BE2756"/>
    <w:rsid w:val="78C733B9"/>
    <w:rsid w:val="7A747570"/>
    <w:rsid w:val="7B000E04"/>
    <w:rsid w:val="7C855A65"/>
    <w:rsid w:val="7DF369FE"/>
    <w:rsid w:val="7F34107C"/>
    <w:rsid w:val="7F623E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9"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qFormat="1" w:uiPriority="39"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nhideWhenUsed="0" w:uiPriority="99"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qFormat="1" w:unhideWhenUsed="0" w:uiPriority="99"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4">
    <w:name w:val="heading 3"/>
    <w:basedOn w:val="1"/>
    <w:next w:val="1"/>
    <w:autoRedefine/>
    <w:unhideWhenUsed/>
    <w:qFormat/>
    <w:uiPriority w:val="9"/>
    <w:pPr>
      <w:keepNext/>
      <w:keepLines/>
      <w:spacing w:before="260" w:after="260" w:line="416" w:lineRule="auto"/>
      <w:outlineLvl w:val="2"/>
    </w:pPr>
    <w:rPr>
      <w:b/>
      <w:bCs/>
      <w:sz w:val="32"/>
      <w:szCs w:val="32"/>
    </w:rPr>
  </w:style>
  <w:style w:type="paragraph" w:styleId="5">
    <w:name w:val="heading 4"/>
    <w:basedOn w:val="1"/>
    <w:next w:val="1"/>
    <w:qFormat/>
    <w:uiPriority w:val="0"/>
    <w:pPr>
      <w:keepNext/>
      <w:keepLines/>
      <w:spacing w:before="280" w:after="290" w:line="372" w:lineRule="auto"/>
      <w:outlineLvl w:val="3"/>
    </w:pPr>
    <w:rPr>
      <w:rFonts w:ascii="Arial" w:hAnsi="Arial" w:eastAsia="黑体"/>
      <w:b/>
      <w:sz w:val="28"/>
    </w:rPr>
  </w:style>
  <w:style w:type="character" w:default="1" w:styleId="17">
    <w:name w:val="Default Paragraph Font"/>
    <w:autoRedefine/>
    <w:semiHidden/>
    <w:qFormat/>
    <w:uiPriority w:val="0"/>
  </w:style>
  <w:style w:type="table" w:default="1" w:styleId="16">
    <w:name w:val="Normal Table"/>
    <w:semiHidden/>
    <w:qFormat/>
    <w:uiPriority w:val="0"/>
    <w:tblPr>
      <w:tblCellMar>
        <w:top w:w="0" w:type="dxa"/>
        <w:left w:w="108" w:type="dxa"/>
        <w:bottom w:w="0" w:type="dxa"/>
        <w:right w:w="108" w:type="dxa"/>
      </w:tblCellMar>
    </w:tblPr>
  </w:style>
  <w:style w:type="paragraph" w:styleId="2">
    <w:name w:val="Body Text"/>
    <w:basedOn w:val="1"/>
    <w:next w:val="3"/>
    <w:autoRedefine/>
    <w:qFormat/>
    <w:uiPriority w:val="0"/>
    <w:pPr>
      <w:widowControl/>
      <w:adjustRightInd w:val="0"/>
      <w:snapToGrid w:val="0"/>
      <w:spacing w:before="150" w:after="150" w:line="264" w:lineRule="auto"/>
      <w:ind w:firstLine="567"/>
    </w:pPr>
    <w:rPr>
      <w:rFonts w:ascii="华文楷体" w:hAnsi="华文楷体" w:eastAsia="LF_Kai"/>
      <w:kern w:val="0"/>
      <w:sz w:val="24"/>
      <w:szCs w:val="20"/>
      <w:lang w:val="en-GB"/>
    </w:rPr>
  </w:style>
  <w:style w:type="paragraph" w:styleId="3">
    <w:name w:val="toc 1"/>
    <w:basedOn w:val="1"/>
    <w:next w:val="1"/>
    <w:autoRedefine/>
    <w:qFormat/>
    <w:uiPriority w:val="39"/>
    <w:pPr>
      <w:adjustRightInd w:val="0"/>
      <w:snapToGrid w:val="0"/>
      <w:spacing w:before="120" w:after="120"/>
      <w:jc w:val="left"/>
    </w:pPr>
    <w:rPr>
      <w:rFonts w:ascii="Calibri" w:hAnsi="Calibri" w:eastAsia="仿宋_GB2312" w:cs="Calibri"/>
      <w:b/>
      <w:bCs/>
      <w:caps/>
      <w:sz w:val="28"/>
      <w:szCs w:val="28"/>
    </w:rPr>
  </w:style>
  <w:style w:type="paragraph" w:styleId="6">
    <w:name w:val="Normal Indent"/>
    <w:autoRedefine/>
    <w:qFormat/>
    <w:uiPriority w:val="0"/>
    <w:pPr>
      <w:widowControl w:val="0"/>
      <w:spacing w:before="260" w:after="260" w:line="360" w:lineRule="auto"/>
      <w:ind w:firstLine="540" w:firstLineChars="200"/>
      <w:jc w:val="both"/>
    </w:pPr>
    <w:rPr>
      <w:rFonts w:eastAsia="仿宋" w:asciiTheme="minorAscii" w:hAnsiTheme="minorAscii" w:cstheme="minorBidi"/>
      <w:kern w:val="2"/>
      <w:sz w:val="28"/>
      <w:szCs w:val="20"/>
      <w:lang w:val="en-US" w:eastAsia="zh-CN" w:bidi="ar-SA"/>
    </w:rPr>
  </w:style>
  <w:style w:type="paragraph" w:styleId="7">
    <w:name w:val="Body Text Indent"/>
    <w:basedOn w:val="1"/>
    <w:unhideWhenUsed/>
    <w:qFormat/>
    <w:uiPriority w:val="99"/>
    <w:pPr>
      <w:spacing w:after="120"/>
      <w:ind w:left="420" w:leftChars="200"/>
    </w:pPr>
  </w:style>
  <w:style w:type="paragraph" w:styleId="8">
    <w:name w:val="Block Text"/>
    <w:basedOn w:val="1"/>
    <w:next w:val="1"/>
    <w:autoRedefine/>
    <w:qFormat/>
    <w:uiPriority w:val="99"/>
    <w:pPr>
      <w:spacing w:line="300" w:lineRule="exact"/>
      <w:ind w:left="-105" w:leftChars="-50" w:right="-105" w:rightChars="-50"/>
      <w:jc w:val="center"/>
    </w:pPr>
    <w:rPr>
      <w:rFonts w:ascii="宋体" w:hAnsi="宋体"/>
      <w:sz w:val="18"/>
      <w:szCs w:val="20"/>
    </w:rPr>
  </w:style>
  <w:style w:type="paragraph" w:styleId="9">
    <w:name w:val="Body Text Indent 2"/>
    <w:basedOn w:val="1"/>
    <w:autoRedefine/>
    <w:qFormat/>
    <w:uiPriority w:val="0"/>
    <w:pPr>
      <w:spacing w:after="120" w:line="480" w:lineRule="auto"/>
      <w:ind w:left="420" w:leftChars="200"/>
    </w:pPr>
    <w:rPr>
      <w:sz w:val="21"/>
      <w:szCs w:val="24"/>
    </w:rPr>
  </w:style>
  <w:style w:type="paragraph" w:styleId="10">
    <w:name w:val="footer"/>
    <w:basedOn w:val="1"/>
    <w:autoRedefine/>
    <w:unhideWhenUsed/>
    <w:qFormat/>
    <w:uiPriority w:val="99"/>
    <w:pPr>
      <w:tabs>
        <w:tab w:val="center" w:pos="4153"/>
        <w:tab w:val="right" w:pos="8306"/>
      </w:tabs>
      <w:snapToGrid w:val="0"/>
    </w:pPr>
    <w:rPr>
      <w:sz w:val="18"/>
      <w:szCs w:val="18"/>
    </w:rPr>
  </w:style>
  <w:style w:type="paragraph" w:styleId="11">
    <w:name w:val="header"/>
    <w:basedOn w:val="1"/>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toc 4"/>
    <w:next w:val="1"/>
    <w:autoRedefine/>
    <w:unhideWhenUsed/>
    <w:qFormat/>
    <w:uiPriority w:val="39"/>
    <w:pPr>
      <w:widowControl w:val="0"/>
      <w:spacing w:before="20" w:beforeLines="20" w:after="20" w:afterLines="20" w:line="360" w:lineRule="auto"/>
      <w:ind w:left="720" w:firstLine="200" w:firstLineChars="200"/>
      <w:jc w:val="left"/>
    </w:pPr>
    <w:rPr>
      <w:rFonts w:ascii="Calibri" w:hAnsi="Calibri" w:eastAsia="宋体" w:cs="Times New Roman"/>
      <w:kern w:val="2"/>
      <w:sz w:val="20"/>
      <w:szCs w:val="20"/>
      <w:lang w:val="en-US" w:eastAsia="zh-CN" w:bidi="ar-SA"/>
    </w:rPr>
  </w:style>
  <w:style w:type="paragraph" w:styleId="13">
    <w:name w:val="Body Text 2"/>
    <w:basedOn w:val="1"/>
    <w:next w:val="2"/>
    <w:qFormat/>
    <w:uiPriority w:val="99"/>
    <w:pPr>
      <w:spacing w:after="120" w:line="480" w:lineRule="auto"/>
      <w:ind w:firstLine="560"/>
    </w:pPr>
    <w:rPr>
      <w:rFonts w:ascii="Calibri" w:hAnsi="Calibri"/>
    </w:rPr>
  </w:style>
  <w:style w:type="paragraph" w:styleId="14">
    <w:name w:val="Body Text First Indent"/>
    <w:basedOn w:val="2"/>
    <w:next w:val="2"/>
    <w:autoRedefine/>
    <w:qFormat/>
    <w:uiPriority w:val="0"/>
    <w:pPr>
      <w:autoSpaceDE/>
      <w:autoSpaceDN/>
      <w:adjustRightInd/>
      <w:spacing w:after="120"/>
      <w:ind w:firstLine="420" w:firstLineChars="100"/>
      <w:jc w:val="both"/>
    </w:pPr>
    <w:rPr>
      <w:kern w:val="2"/>
      <w:sz w:val="21"/>
    </w:rPr>
  </w:style>
  <w:style w:type="paragraph" w:styleId="15">
    <w:name w:val="Body Text First Indent 2"/>
    <w:basedOn w:val="7"/>
    <w:next w:val="1"/>
    <w:qFormat/>
    <w:uiPriority w:val="0"/>
    <w:pPr>
      <w:ind w:firstLine="420" w:firstLineChars="200"/>
    </w:pPr>
  </w:style>
  <w:style w:type="character" w:styleId="18">
    <w:name w:val="Emphasis"/>
    <w:basedOn w:val="17"/>
    <w:autoRedefine/>
    <w:qFormat/>
    <w:uiPriority w:val="20"/>
    <w:rPr>
      <w:i/>
    </w:rPr>
  </w:style>
  <w:style w:type="paragraph" w:customStyle="1" w:styleId="19">
    <w:name w:val="正文文字 6"/>
    <w:next w:val="1"/>
    <w:autoRedefine/>
    <w:qFormat/>
    <w:uiPriority w:val="0"/>
    <w:pPr>
      <w:widowControl w:val="0"/>
      <w:ind w:left="240"/>
      <w:jc w:val="both"/>
    </w:pPr>
    <w:rPr>
      <w:rFonts w:ascii="宋体" w:hAnsi="Times New Roman" w:eastAsia="宋体" w:cs="Times New Roman"/>
      <w:b/>
      <w:bCs/>
      <w:kern w:val="2"/>
      <w:sz w:val="32"/>
      <w:szCs w:val="32"/>
      <w:lang w:val="en-US" w:eastAsia="zh-CN" w:bidi="ar-SA"/>
    </w:rPr>
  </w:style>
  <w:style w:type="paragraph" w:customStyle="1" w:styleId="20">
    <w:name w:val="表格2"/>
    <w:basedOn w:val="8"/>
    <w:autoRedefine/>
    <w:qFormat/>
    <w:uiPriority w:val="0"/>
    <w:pPr>
      <w:spacing w:line="240" w:lineRule="exact"/>
      <w:ind w:left="0" w:leftChars="0" w:right="0" w:rightChars="0" w:firstLine="0" w:firstLineChars="0"/>
    </w:pPr>
    <w:rPr>
      <w:rFonts w:ascii="Times New Roman" w:hAnsi="Times New Roman" w:cs="Times New Roman"/>
      <w:sz w:val="22"/>
      <w:szCs w:val="20"/>
    </w:rPr>
  </w:style>
  <w:style w:type="paragraph" w:customStyle="1" w:styleId="21">
    <w:name w:val="样式8"/>
    <w:basedOn w:val="1"/>
    <w:link w:val="26"/>
    <w:autoRedefine/>
    <w:qFormat/>
    <w:uiPriority w:val="0"/>
    <w:pPr>
      <w:spacing w:line="360" w:lineRule="auto"/>
      <w:ind w:firstLine="720" w:firstLineChars="200"/>
      <w:jc w:val="both"/>
    </w:pPr>
    <w:rPr>
      <w:rFonts w:ascii="Times New Roman" w:hAnsi="Times New Roman" w:eastAsia="仿宋"/>
      <w:sz w:val="28"/>
      <w:szCs w:val="24"/>
    </w:rPr>
  </w:style>
  <w:style w:type="paragraph" w:customStyle="1" w:styleId="22">
    <w:name w:val="表格222"/>
    <w:basedOn w:val="3"/>
    <w:autoRedefine/>
    <w:qFormat/>
    <w:uiPriority w:val="0"/>
    <w:pPr>
      <w:spacing w:line="240" w:lineRule="exact"/>
      <w:jc w:val="center"/>
    </w:pPr>
    <w:rPr>
      <w:rFonts w:ascii="Times New Roman" w:hAnsi="Times New Roman" w:eastAsia="仿宋" w:cs="Calibri"/>
      <w:sz w:val="22"/>
    </w:rPr>
  </w:style>
  <w:style w:type="paragraph" w:customStyle="1" w:styleId="23">
    <w:name w:val="Default"/>
    <w:autoRedefine/>
    <w:qFormat/>
    <w:uiPriority w:val="0"/>
    <w:pPr>
      <w:widowControl w:val="0"/>
      <w:autoSpaceDE w:val="0"/>
      <w:autoSpaceDN w:val="0"/>
      <w:adjustRightInd w:val="0"/>
    </w:pPr>
    <w:rPr>
      <w:rFonts w:ascii="Univers 45 Light" w:hAnsi="Times New Roman" w:eastAsia="Univers 45 Light" w:cs="Univers 45 Light"/>
      <w:color w:val="000000"/>
      <w:sz w:val="24"/>
      <w:szCs w:val="24"/>
      <w:lang w:val="en-US" w:eastAsia="zh-CN" w:bidi="ar-SA"/>
    </w:rPr>
  </w:style>
  <w:style w:type="character" w:customStyle="1" w:styleId="24">
    <w:name w:val="font21"/>
    <w:basedOn w:val="17"/>
    <w:autoRedefine/>
    <w:qFormat/>
    <w:uiPriority w:val="0"/>
    <w:rPr>
      <w:rFonts w:hint="default" w:ascii="Times New Roman" w:hAnsi="Times New Roman" w:cs="Times New Roman"/>
      <w:color w:val="000000"/>
      <w:sz w:val="28"/>
      <w:szCs w:val="28"/>
      <w:u w:val="none"/>
    </w:rPr>
  </w:style>
  <w:style w:type="character" w:customStyle="1" w:styleId="25">
    <w:name w:val="font31"/>
    <w:basedOn w:val="17"/>
    <w:autoRedefine/>
    <w:qFormat/>
    <w:uiPriority w:val="0"/>
    <w:rPr>
      <w:rFonts w:hint="eastAsia" w:ascii="宋体" w:hAnsi="宋体" w:eastAsia="宋体" w:cs="宋体"/>
      <w:color w:val="000000"/>
      <w:sz w:val="20"/>
      <w:szCs w:val="20"/>
      <w:u w:val="none"/>
    </w:rPr>
  </w:style>
  <w:style w:type="character" w:customStyle="1" w:styleId="26">
    <w:name w:val="样式8 Char1"/>
    <w:link w:val="21"/>
    <w:autoRedefine/>
    <w:qFormat/>
    <w:uiPriority w:val="0"/>
    <w:rPr>
      <w:rFonts w:ascii="Times New Roman" w:hAnsi="Times New Roman" w:eastAsia="仿宋"/>
      <w:sz w:val="28"/>
      <w:szCs w:val="24"/>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2.bin"/><Relationship Id="rId8" Type="http://schemas.openxmlformats.org/officeDocument/2006/relationships/image" Target="media/image1.emf"/><Relationship Id="rId7" Type="http://schemas.openxmlformats.org/officeDocument/2006/relationships/oleObject" Target="embeddings/oleObject1.bin"/><Relationship Id="rId6" Type="http://schemas.openxmlformats.org/officeDocument/2006/relationships/theme" Target="theme/theme1.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2.e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5787</Words>
  <Characters>6359</Characters>
  <Lines>0</Lines>
  <Paragraphs>0</Paragraphs>
  <TotalTime>3</TotalTime>
  <ScaleCrop>false</ScaleCrop>
  <LinksUpToDate>false</LinksUpToDate>
  <CharactersWithSpaces>6359</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2019-12-07T12:57:00Z</dcterms:created>
  <dc:creator>李仕林</dc:creator>
  <cp:lastModifiedBy>由风</cp:lastModifiedBy>
  <dcterms:modified xsi:type="dcterms:W3CDTF">2025-03-17T14:56:16Z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4A9BDAB1BEB7416A822C07943B93A118</vt:lpwstr>
  </property>
  <property fmtid="{D5CDD505-2E9C-101B-9397-08002B2CF9AE}" pid="4" name="KSOTemplateDocerSaveRecord">
    <vt:lpwstr>eyJoZGlkIjoiNTg0ZGZlMDhkNGU5MmQ2YmRmYWVhNzM3MzEzMWRiOTYiLCJ1c2VySWQiOiIxMDY3ODQ5NjQxIn0=</vt:lpwstr>
  </property>
</Properties>
</file>